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19349">
      <w:pPr>
        <w:jc w:val="center"/>
        <w:rPr>
          <w:rFonts w:hint="eastAsia"/>
          <w:color w:val="FF0000"/>
          <w:highlight w:val="none"/>
          <w:lang w:val="en-US" w:eastAsia="zh-CN"/>
        </w:rPr>
      </w:pPr>
      <w:bookmarkStart w:id="0" w:name="_GoBack"/>
      <w:bookmarkEnd w:id="0"/>
      <w:r>
        <w:rPr>
          <w:rFonts w:hint="eastAsia" w:ascii="方正小标宋简体" w:hAnsi="方正小标宋简体" w:eastAsia="方正小标宋简体" w:cs="方正小标宋简体"/>
          <w:color w:val="FF0000"/>
          <w:sz w:val="44"/>
          <w:szCs w:val="44"/>
          <w:highlight w:val="none"/>
          <w:lang w:val="en-US" w:eastAsia="zh-CN"/>
        </w:rPr>
        <w:t>盘州市人民政府办公室文件行文稿纸</w:t>
      </w:r>
    </w:p>
    <w:p w14:paraId="44C8A504">
      <w:pPr>
        <w:jc w:val="left"/>
        <w:rPr>
          <w:rFonts w:hint="eastAsia" w:ascii="仿宋" w:hAnsi="仿宋" w:eastAsia="仿宋" w:cs="仿宋"/>
          <w:color w:val="auto"/>
          <w:sz w:val="28"/>
          <w:szCs w:val="28"/>
          <w:highlight w:val="none"/>
          <w:lang w:val="en-US" w:eastAsia="zh-CN"/>
        </w:rPr>
      </w:pPr>
      <w:r>
        <w:rPr>
          <w:rFonts w:hint="eastAsia"/>
          <w:color w:val="FF0000"/>
          <w:highlight w:val="none"/>
          <w:lang w:val="en-US" w:eastAsia="zh-CN"/>
        </w:rPr>
        <w:t xml:space="preserve">  </w:t>
      </w:r>
      <w:r>
        <w:rPr>
          <w:rFonts w:hint="eastAsia" w:asciiTheme="majorEastAsia" w:hAnsiTheme="majorEastAsia" w:eastAsiaTheme="majorEastAsia" w:cstheme="majorEastAsia"/>
          <w:color w:val="FF0000"/>
          <w:highlight w:val="none"/>
          <w:lang w:val="en-US" w:eastAsia="zh-CN"/>
        </w:rPr>
        <w:t xml:space="preserve">  </w:t>
      </w:r>
      <w:r>
        <w:rPr>
          <w:rFonts w:hint="eastAsia" w:asciiTheme="majorEastAsia" w:hAnsiTheme="majorEastAsia" w:eastAsiaTheme="majorEastAsia" w:cstheme="majorEastAsia"/>
          <w:color w:val="auto"/>
          <w:sz w:val="28"/>
          <w:szCs w:val="28"/>
          <w:highlight w:val="none"/>
          <w:lang w:val="en-US" w:eastAsia="zh-CN"/>
        </w:rPr>
        <w:t xml:space="preserve">文件编号： </w:t>
      </w:r>
      <w:r>
        <w:rPr>
          <w:rFonts w:hint="default" w:ascii="Times New Roman" w:hAnsi="Times New Roman" w:cs="Times New Roman"/>
          <w:color w:val="auto"/>
          <w:sz w:val="28"/>
          <w:szCs w:val="28"/>
          <w:highlight w:val="none"/>
          <w:lang w:val="en-US" w:eastAsia="zh-CN"/>
        </w:rPr>
        <w:t>盘州府呈〔202</w:t>
      </w:r>
      <w:r>
        <w:rPr>
          <w:rFonts w:hint="eastAsia" w:ascii="Times New Roman" w:hAnsi="Times New Roman" w:cs="Times New Roman"/>
          <w:color w:val="auto"/>
          <w:sz w:val="28"/>
          <w:szCs w:val="28"/>
          <w:highlight w:val="none"/>
          <w:lang w:val="en-US" w:eastAsia="zh-CN"/>
        </w:rPr>
        <w:t>5</w:t>
      </w:r>
      <w:r>
        <w:rPr>
          <w:rFonts w:hint="default" w:ascii="Times New Roman" w:hAnsi="Times New Roman" w:cs="Times New Roman"/>
          <w:color w:val="auto"/>
          <w:sz w:val="28"/>
          <w:szCs w:val="28"/>
          <w:highlight w:val="none"/>
          <w:lang w:val="en-US" w:eastAsia="zh-CN"/>
        </w:rPr>
        <w:t>〕     号</w:t>
      </w:r>
      <w:r>
        <w:rPr>
          <w:rFonts w:hint="eastAsia" w:asciiTheme="majorEastAsia" w:hAnsiTheme="majorEastAsia" w:eastAsiaTheme="majorEastAsia" w:cstheme="majorEastAsia"/>
          <w:color w:val="auto"/>
          <w:sz w:val="28"/>
          <w:szCs w:val="28"/>
          <w:highlight w:val="none"/>
          <w:lang w:val="en-US" w:eastAsia="zh-CN"/>
        </w:rPr>
        <w:t xml:space="preserve">              密级：非密</w:t>
      </w:r>
    </w:p>
    <w:p w14:paraId="5E7CC181">
      <w:pPr>
        <w:rPr>
          <w:rFonts w:hint="eastAsia"/>
          <w:color w:val="auto"/>
          <w:highlight w:val="none"/>
          <w:lang w:val="en-US" w:eastAsia="zh-CN"/>
        </w:rPr>
      </w:pPr>
    </w:p>
    <w:tbl>
      <w:tblPr>
        <w:tblStyle w:val="14"/>
        <w:tblpPr w:leftFromText="181" w:rightFromText="181" w:vertAnchor="text" w:horzAnchor="page" w:tblpXSpec="center" w:tblpY="205"/>
        <w:tblOverlap w:val="never"/>
        <w:tblW w:w="10198" w:type="dxa"/>
        <w:jc w:val="center"/>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3399"/>
        <w:gridCol w:w="3174"/>
        <w:gridCol w:w="3625"/>
      </w:tblGrid>
      <w:tr w14:paraId="000B8903">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273" w:hRule="atLeast"/>
          <w:jc w:val="center"/>
        </w:trPr>
        <w:tc>
          <w:tcPr>
            <w:tcW w:w="3399" w:type="dxa"/>
            <w:tcBorders>
              <w:tl2br w:val="nil"/>
              <w:tr2bl w:val="nil"/>
            </w:tcBorders>
            <w:vAlign w:val="top"/>
          </w:tcPr>
          <w:p w14:paraId="58C62BD7">
            <w:pPr>
              <w:rPr>
                <w:rFonts w:hint="eastAsia"/>
                <w:color w:val="auto"/>
                <w:sz w:val="21"/>
                <w:szCs w:val="21"/>
                <w:lang w:val="en-US" w:eastAsia="zh-CN"/>
              </w:rPr>
            </w:pPr>
            <w:r>
              <w:rPr>
                <w:rFonts w:hint="eastAsia"/>
                <w:color w:val="auto"/>
                <w:sz w:val="21"/>
                <w:szCs w:val="21"/>
                <w:lang w:val="en-US" w:eastAsia="zh-CN"/>
              </w:rPr>
              <w:t>签发：</w:t>
            </w:r>
          </w:p>
        </w:tc>
        <w:tc>
          <w:tcPr>
            <w:tcW w:w="3174" w:type="dxa"/>
            <w:tcBorders>
              <w:tl2br w:val="nil"/>
              <w:tr2bl w:val="nil"/>
            </w:tcBorders>
            <w:vAlign w:val="top"/>
          </w:tcPr>
          <w:p w14:paraId="73420A82">
            <w:pPr>
              <w:rPr>
                <w:rFonts w:hint="eastAsia"/>
                <w:color w:val="auto"/>
                <w:sz w:val="21"/>
                <w:szCs w:val="21"/>
                <w:lang w:val="en-US" w:eastAsia="zh-CN"/>
              </w:rPr>
            </w:pPr>
            <w:r>
              <w:rPr>
                <w:rFonts w:hint="eastAsia"/>
                <w:color w:val="auto"/>
                <w:sz w:val="21"/>
                <w:szCs w:val="21"/>
                <w:lang w:val="en-US" w:eastAsia="zh-CN"/>
              </w:rPr>
              <w:t>有关市领导审核意见：</w:t>
            </w:r>
          </w:p>
          <w:p w14:paraId="4499AE98">
            <w:pPr>
              <w:rPr>
                <w:rFonts w:hint="eastAsia"/>
                <w:color w:val="auto"/>
                <w:sz w:val="21"/>
                <w:szCs w:val="21"/>
                <w:lang w:val="en-US" w:eastAsia="zh-CN"/>
              </w:rPr>
            </w:pPr>
          </w:p>
          <w:p w14:paraId="0916FCB0">
            <w:pPr>
              <w:rPr>
                <w:rFonts w:hint="eastAsia"/>
                <w:color w:val="auto"/>
                <w:sz w:val="21"/>
                <w:szCs w:val="21"/>
                <w:lang w:val="en-US" w:eastAsia="zh-CN"/>
              </w:rPr>
            </w:pPr>
          </w:p>
          <w:p w14:paraId="481A2576">
            <w:pPr>
              <w:rPr>
                <w:rFonts w:hint="eastAsia"/>
                <w:color w:val="auto"/>
                <w:sz w:val="21"/>
                <w:szCs w:val="21"/>
                <w:lang w:val="en-US" w:eastAsia="zh-CN"/>
              </w:rPr>
            </w:pPr>
          </w:p>
          <w:p w14:paraId="67852D19">
            <w:pPr>
              <w:rPr>
                <w:rFonts w:hint="eastAsia"/>
                <w:color w:val="auto"/>
                <w:sz w:val="21"/>
                <w:szCs w:val="21"/>
                <w:lang w:val="en-US" w:eastAsia="zh-CN"/>
              </w:rPr>
            </w:pPr>
          </w:p>
          <w:p w14:paraId="613710CD">
            <w:pPr>
              <w:rPr>
                <w:rFonts w:hint="eastAsia"/>
                <w:color w:val="auto"/>
                <w:sz w:val="21"/>
                <w:szCs w:val="21"/>
                <w:lang w:val="en-US" w:eastAsia="zh-CN"/>
              </w:rPr>
            </w:pPr>
          </w:p>
          <w:p w14:paraId="0ED5164C">
            <w:pPr>
              <w:rPr>
                <w:rFonts w:hint="eastAsia"/>
                <w:color w:val="auto"/>
                <w:sz w:val="21"/>
                <w:szCs w:val="21"/>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-55880</wp:posOffset>
                      </wp:positionH>
                      <wp:positionV relativeFrom="paragraph">
                        <wp:posOffset>180975</wp:posOffset>
                      </wp:positionV>
                      <wp:extent cx="4305300" cy="0"/>
                      <wp:effectExtent l="0" t="6350" r="0" b="6350"/>
                      <wp:wrapNone/>
                      <wp:docPr id="4" name="直接连接符 4"/>
                      <wp:cNvGraphicFramePr/>
                      <a:graphic xmlns:a="http://schemas.openxmlformats.org/drawingml/2006/main">
                        <a:graphicData uri="http://schemas.microsoft.com/office/word/2010/wordprocessingShape">
                          <wps:wsp>
                            <wps:cNvCnPr/>
                            <wps:spPr>
                              <a:xfrm>
                                <a:off x="2713355" y="2725420"/>
                                <a:ext cx="4305300" cy="0"/>
                              </a:xfrm>
                              <a:prstGeom prst="line">
                                <a:avLst/>
                              </a:prstGeom>
                              <a:ln w="12700">
                                <a:solidFill>
                                  <a:srgbClr val="FF000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4pt;margin-top:14.25pt;height:0pt;width:339pt;z-index:251662336;mso-width-relative:page;mso-height-relative:page;" filled="f" stroked="t" coordsize="21600,21600" o:gfxdata="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owZ+31wAA&#10;AAgBAAAPAAAAAAAAAAEAIAAAACIAAABkcnMvZG93bnJldi54bWxQSwECFAAUAAAACACHTuJATFHB&#10;aeYBAACnAwAADgAAAAAAAAABACAAAAAmAQAAZHJzL2Uyb0RvYy54bWxQSwUGAAAAAAYABgBZAQAA&#10;fgUAAAAA&#10;">
                      <v:fill on="f" focussize="0,0"/>
                      <v:stroke weight="1pt" color="#FF0000 [3204]" joinstyle="round"/>
                      <v:imagedata o:title=""/>
                      <o:lock v:ext="edit" aspectratio="f"/>
                    </v:line>
                  </w:pict>
                </mc:Fallback>
              </mc:AlternateContent>
            </w:r>
          </w:p>
          <w:p w14:paraId="6DB322F5">
            <w:pPr>
              <w:rPr>
                <w:rFonts w:hint="eastAsia"/>
                <w:color w:val="auto"/>
                <w:sz w:val="21"/>
                <w:szCs w:val="21"/>
                <w:lang w:val="en-US" w:eastAsia="zh-CN"/>
              </w:rPr>
            </w:pPr>
            <w:r>
              <w:rPr>
                <w:rFonts w:hint="eastAsia"/>
                <w:color w:val="auto"/>
                <w:sz w:val="21"/>
                <w:szCs w:val="21"/>
                <w:lang w:val="en-US" w:eastAsia="zh-CN"/>
              </w:rPr>
              <w:t>主任审核意见：</w:t>
            </w:r>
          </w:p>
          <w:p w14:paraId="5FE6ABA5">
            <w:pPr>
              <w:rPr>
                <w:rFonts w:hint="eastAsia"/>
                <w:color w:val="auto"/>
                <w:sz w:val="21"/>
                <w:szCs w:val="21"/>
                <w:lang w:val="en-US" w:eastAsia="zh-CN"/>
              </w:rPr>
            </w:pPr>
          </w:p>
          <w:p w14:paraId="5EC513C8">
            <w:pPr>
              <w:rPr>
                <w:rFonts w:hint="eastAsia"/>
                <w:color w:val="auto"/>
                <w:sz w:val="21"/>
                <w:szCs w:val="21"/>
                <w:lang w:val="en-US" w:eastAsia="zh-CN"/>
              </w:rPr>
            </w:pPr>
          </w:p>
          <w:p w14:paraId="6DD23FFC">
            <w:pPr>
              <w:rPr>
                <w:rFonts w:hint="eastAsia"/>
                <w:color w:val="auto"/>
                <w:sz w:val="21"/>
                <w:szCs w:val="21"/>
                <w:lang w:val="en-US" w:eastAsia="zh-CN"/>
              </w:rPr>
            </w:pPr>
          </w:p>
          <w:p w14:paraId="7B97A1A8">
            <w:pPr>
              <w:rPr>
                <w:rFonts w:hint="eastAsia"/>
                <w:color w:val="auto"/>
                <w:sz w:val="21"/>
                <w:szCs w:val="21"/>
                <w:lang w:val="en-US" w:eastAsia="zh-CN"/>
              </w:rPr>
            </w:pPr>
          </w:p>
          <w:p w14:paraId="37F446E6">
            <w:pPr>
              <w:rPr>
                <w:rFonts w:hint="eastAsia"/>
                <w:color w:val="auto"/>
                <w:sz w:val="21"/>
                <w:szCs w:val="21"/>
                <w:lang w:val="en-US" w:eastAsia="zh-CN"/>
              </w:rPr>
            </w:pPr>
          </w:p>
          <w:p w14:paraId="043D844D">
            <w:pPr>
              <w:rPr>
                <w:rFonts w:hint="eastAsia"/>
                <w:color w:val="auto"/>
                <w:sz w:val="21"/>
                <w:szCs w:val="21"/>
                <w:lang w:val="en-US" w:eastAsia="zh-CN"/>
              </w:rPr>
            </w:pPr>
          </w:p>
        </w:tc>
        <w:tc>
          <w:tcPr>
            <w:tcW w:w="3625" w:type="dxa"/>
            <w:tcBorders>
              <w:top w:val="single" w:color="auto" w:sz="4" w:space="0"/>
              <w:tl2br w:val="nil"/>
              <w:tr2bl w:val="nil"/>
            </w:tcBorders>
            <w:vAlign w:val="top"/>
          </w:tcPr>
          <w:p w14:paraId="7D983A3C">
            <w:pPr>
              <w:rPr>
                <w:rFonts w:hint="eastAsia"/>
                <w:color w:val="auto"/>
                <w:sz w:val="21"/>
                <w:szCs w:val="21"/>
                <w:lang w:val="en-US" w:eastAsia="zh-CN"/>
              </w:rPr>
            </w:pPr>
            <w:r>
              <w:rPr>
                <w:rFonts w:hint="eastAsia"/>
                <w:color w:val="auto"/>
                <w:sz w:val="21"/>
                <w:szCs w:val="21"/>
                <w:lang w:val="en-US" w:eastAsia="zh-CN"/>
              </w:rPr>
              <w:t>定密责任人意见：</w:t>
            </w:r>
          </w:p>
          <w:p w14:paraId="6E0A4682">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7071E9F7">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5AB8144E">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3CB3994A">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7919C8F1">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4216A18B">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2ED44B00">
            <w:pPr>
              <w:rPr>
                <w:rFonts w:hint="eastAsia"/>
                <w:color w:val="auto"/>
                <w:sz w:val="21"/>
                <w:szCs w:val="21"/>
                <w:lang w:val="en-US" w:eastAsia="zh-CN"/>
              </w:rPr>
            </w:pPr>
            <w:r>
              <w:rPr>
                <w:rFonts w:hint="eastAsia"/>
                <w:color w:val="auto"/>
                <w:sz w:val="21"/>
                <w:szCs w:val="21"/>
                <w:lang w:val="en-US" w:eastAsia="zh-CN"/>
              </w:rPr>
              <w:t>联系副主任、文字副主任意见：</w:t>
            </w:r>
          </w:p>
          <w:p w14:paraId="06F0C502">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tc>
      </w:tr>
      <w:tr w14:paraId="092AA2C6">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562" w:hRule="atLeast"/>
          <w:jc w:val="center"/>
        </w:trPr>
        <w:tc>
          <w:tcPr>
            <w:tcW w:w="6573" w:type="dxa"/>
            <w:gridSpan w:val="2"/>
            <w:vMerge w:val="restart"/>
            <w:tcBorders>
              <w:tl2br w:val="nil"/>
              <w:tr2bl w:val="nil"/>
            </w:tcBorders>
            <w:vAlign w:val="top"/>
          </w:tcPr>
          <w:p w14:paraId="735B1905">
            <w:pPr>
              <w:rPr>
                <w:rFonts w:hint="eastAsia"/>
                <w:color w:val="auto"/>
                <w:sz w:val="21"/>
                <w:szCs w:val="21"/>
                <w:lang w:val="en-US" w:eastAsia="zh-CN"/>
              </w:rPr>
            </w:pPr>
            <w:r>
              <w:rPr>
                <w:rFonts w:hint="eastAsia"/>
                <w:color w:val="auto"/>
                <w:sz w:val="21"/>
                <w:szCs w:val="21"/>
                <w:lang w:val="en-US" w:eastAsia="zh-CN"/>
              </w:rPr>
              <w:t>标题：</w:t>
            </w:r>
            <w:r>
              <w:rPr>
                <w:rFonts w:hint="default" w:ascii="Times New Roman" w:hAnsi="Times New Roman" w:cs="Times New Roman"/>
                <w:color w:val="auto"/>
                <w:sz w:val="24"/>
                <w:szCs w:val="24"/>
                <w:highlight w:val="none"/>
                <w:lang w:val="en-US" w:eastAsia="zh-CN"/>
              </w:rPr>
              <w:t>盘州市人民政府关于申请</w:t>
            </w:r>
            <w:r>
              <w:rPr>
                <w:rFonts w:hint="eastAsia" w:ascii="Times New Roman" w:hAnsi="Times New Roman" w:cs="Times New Roman"/>
                <w:color w:val="auto"/>
                <w:sz w:val="24"/>
                <w:szCs w:val="24"/>
                <w:highlight w:val="none"/>
                <w:lang w:val="en-US" w:eastAsia="zh-CN"/>
              </w:rPr>
              <w:t>盘州市2024年度第十批次城镇建设用地</w:t>
            </w:r>
            <w:r>
              <w:rPr>
                <w:rFonts w:hint="default" w:ascii="Times New Roman" w:hAnsi="Times New Roman" w:cs="Times New Roman"/>
                <w:color w:val="auto"/>
                <w:sz w:val="24"/>
                <w:szCs w:val="24"/>
                <w:highlight w:val="none"/>
                <w:lang w:val="en-US" w:eastAsia="zh-CN"/>
              </w:rPr>
              <w:t>农用地转用和土地征收的请示</w:t>
            </w:r>
          </w:p>
          <w:p w14:paraId="17483BAA">
            <w:pPr>
              <w:rPr>
                <w:rFonts w:hint="eastAsia"/>
                <w:color w:val="auto"/>
                <w:sz w:val="21"/>
                <w:szCs w:val="21"/>
                <w:lang w:val="en-US" w:eastAsia="zh-CN"/>
              </w:rPr>
            </w:pPr>
          </w:p>
          <w:p w14:paraId="646BEAA0">
            <w:pPr>
              <w:rPr>
                <w:rFonts w:hint="eastAsia"/>
                <w:color w:val="auto"/>
                <w:sz w:val="21"/>
                <w:szCs w:val="21"/>
                <w:lang w:val="en-US" w:eastAsia="zh-CN"/>
              </w:rPr>
            </w:pPr>
            <w:r>
              <w:rPr>
                <w:color w:val="auto"/>
                <w:sz w:val="21"/>
              </w:rPr>
              <mc:AlternateContent>
                <mc:Choice Requires="wps">
                  <w:drawing>
                    <wp:anchor distT="0" distB="0" distL="114300" distR="114300" simplePos="0" relativeHeight="251661312" behindDoc="0" locked="0" layoutInCell="1" allowOverlap="1">
                      <wp:simplePos x="0" y="0"/>
                      <wp:positionH relativeFrom="column">
                        <wp:posOffset>4076700</wp:posOffset>
                      </wp:positionH>
                      <wp:positionV relativeFrom="paragraph">
                        <wp:posOffset>96520</wp:posOffset>
                      </wp:positionV>
                      <wp:extent cx="2295525" cy="635"/>
                      <wp:effectExtent l="0" t="0" r="0" b="0"/>
                      <wp:wrapNone/>
                      <wp:docPr id="1" name="直线 2"/>
                      <wp:cNvGraphicFramePr/>
                      <a:graphic xmlns:a="http://schemas.openxmlformats.org/drawingml/2006/main">
                        <a:graphicData uri="http://schemas.microsoft.com/office/word/2010/wordprocessingShape">
                          <wps:wsp>
                            <wps:cNvCnPr/>
                            <wps:spPr>
                              <a:xfrm>
                                <a:off x="0" y="0"/>
                                <a:ext cx="2295525" cy="635"/>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321pt;margin-top:7.6pt;height:0.05pt;width:180.75pt;z-index:251661312;mso-width-relative:page;mso-height-relative:page;" filled="f" stroked="t" coordsize="21600,21600" o:gfxdata="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CQHYs&#10;1wAAAAoBAAAPAAAAAAAAAAEAIAAAACIAAABkcnMvZG93bnJldi54bWxQSwECFAAUAAAACACHTuJA&#10;M6GjXOkBAADdAwAADgAAAAAAAAABACAAAAAmAQAAZHJzL2Uyb0RvYy54bWxQSwUGAAAAAAYABgBZ&#10;AQAAgQUAAAAA&#10;">
                      <v:fill on="f" focussize="0,0"/>
                      <v:stroke color="#FF0000" joinstyle="round"/>
                      <v:imagedata o:title=""/>
                      <o:lock v:ext="edit" aspectratio="f"/>
                    </v:line>
                  </w:pict>
                </mc:Fallback>
              </mc:AlternateContent>
            </w:r>
          </w:p>
        </w:tc>
        <w:tc>
          <w:tcPr>
            <w:tcW w:w="3625" w:type="dxa"/>
            <w:tcBorders>
              <w:bottom w:val="single" w:color="auto" w:sz="4" w:space="0"/>
              <w:tl2br w:val="nil"/>
              <w:tr2bl w:val="nil"/>
            </w:tcBorders>
            <w:vAlign w:val="top"/>
          </w:tcPr>
          <w:p w14:paraId="394403FD">
            <w:pPr>
              <w:rPr>
                <w:rFonts w:hint="eastAsia"/>
                <w:color w:val="auto"/>
                <w:sz w:val="21"/>
                <w:szCs w:val="21"/>
                <w:lang w:val="en-US" w:eastAsia="zh-CN"/>
              </w:rPr>
            </w:pPr>
            <w:r>
              <w:rPr>
                <w:rFonts w:hint="eastAsia"/>
                <w:color w:val="auto"/>
                <w:sz w:val="21"/>
                <w:szCs w:val="21"/>
                <w:lang w:val="en-US" w:eastAsia="zh-CN"/>
              </w:rPr>
              <w:t>是否公开：</w:t>
            </w:r>
          </w:p>
        </w:tc>
      </w:tr>
      <w:tr w14:paraId="6D3FBD0B">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824" w:hRule="atLeast"/>
          <w:jc w:val="center"/>
        </w:trPr>
        <w:tc>
          <w:tcPr>
            <w:tcW w:w="6573" w:type="dxa"/>
            <w:gridSpan w:val="2"/>
            <w:vMerge w:val="continue"/>
            <w:tcBorders>
              <w:right w:val="single" w:color="auto" w:sz="4" w:space="0"/>
              <w:tl2br w:val="nil"/>
              <w:tr2bl w:val="nil"/>
            </w:tcBorders>
            <w:vAlign w:val="top"/>
          </w:tcPr>
          <w:p w14:paraId="1C32A913">
            <w:pPr>
              <w:rPr>
                <w:rFonts w:hint="eastAsia" w:eastAsia="宋体"/>
                <w:color w:val="auto"/>
                <w:sz w:val="21"/>
                <w:szCs w:val="21"/>
                <w:lang w:eastAsia="zh-CN"/>
              </w:rPr>
            </w:pPr>
            <w:r>
              <w:rPr>
                <w:rFonts w:hint="eastAsia"/>
                <w:color w:val="auto"/>
                <w:sz w:val="21"/>
                <w:szCs w:val="21"/>
                <w:lang w:eastAsia="zh-CN"/>
              </w:rPr>
              <w:t>：</w:t>
            </w:r>
          </w:p>
        </w:tc>
        <w:tc>
          <w:tcPr>
            <w:tcW w:w="3625" w:type="dxa"/>
            <w:vMerge w:val="restart"/>
            <w:tcBorders>
              <w:top w:val="single" w:color="auto" w:sz="4" w:space="0"/>
              <w:left w:val="single" w:color="auto" w:sz="4" w:space="0"/>
              <w:bottom w:val="single" w:color="auto" w:sz="4" w:space="0"/>
              <w:tl2br w:val="nil"/>
              <w:tr2bl w:val="nil"/>
            </w:tcBorders>
            <w:vAlign w:val="top"/>
          </w:tcPr>
          <w:p w14:paraId="5DDFF1E4">
            <w:pPr>
              <w:rPr>
                <w:rFonts w:hint="eastAsia"/>
                <w:color w:val="auto"/>
                <w:sz w:val="21"/>
                <w:szCs w:val="21"/>
                <w:lang w:val="en-US" w:eastAsia="zh-CN"/>
              </w:rPr>
            </w:pPr>
            <w:r>
              <w:rPr>
                <w:rFonts w:hint="eastAsia"/>
                <w:color w:val="auto"/>
                <w:sz w:val="21"/>
                <w:szCs w:val="21"/>
                <w:lang w:val="en-US" w:eastAsia="zh-CN"/>
              </w:rPr>
              <w:t>是否属于公平竞争审查范围：</w:t>
            </w:r>
          </w:p>
          <w:p w14:paraId="4098553B">
            <w:pPr>
              <w:rPr>
                <w:rFonts w:hint="eastAsia"/>
                <w:color w:val="auto"/>
                <w:sz w:val="21"/>
                <w:szCs w:val="21"/>
                <w:lang w:val="en-US" w:eastAsia="zh-CN"/>
              </w:rPr>
            </w:pPr>
          </w:p>
          <w:p w14:paraId="4047464F">
            <w:pPr>
              <w:rPr>
                <w:rFonts w:hint="eastAsia"/>
                <w:color w:val="auto"/>
                <w:sz w:val="21"/>
                <w:szCs w:val="21"/>
                <w:lang w:val="en-US" w:eastAsia="zh-CN"/>
              </w:rPr>
            </w:pPr>
            <w:r>
              <w:rPr>
                <w:rFonts w:hint="eastAsia"/>
                <w:color w:val="auto"/>
                <w:sz w:val="21"/>
                <w:szCs w:val="21"/>
                <w:lang w:val="en-US" w:eastAsia="zh-CN"/>
              </w:rPr>
              <w:t>是否开展合法性审查：</w:t>
            </w:r>
          </w:p>
        </w:tc>
      </w:tr>
      <w:tr w14:paraId="18982472">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22" w:hRule="atLeast"/>
          <w:jc w:val="center"/>
        </w:trPr>
        <w:tc>
          <w:tcPr>
            <w:tcW w:w="6573" w:type="dxa"/>
            <w:gridSpan w:val="2"/>
            <w:vMerge w:val="restart"/>
            <w:tcBorders>
              <w:right w:val="single" w:color="auto" w:sz="4" w:space="0"/>
              <w:tl2br w:val="nil"/>
              <w:tr2bl w:val="nil"/>
            </w:tcBorders>
            <w:vAlign w:val="top"/>
          </w:tcPr>
          <w:p w14:paraId="65B4C9D3">
            <w:pPr>
              <w:rPr>
                <w:rFonts w:hint="eastAsia"/>
                <w:lang w:val="en-US" w:eastAsia="zh-CN"/>
              </w:rPr>
            </w:pPr>
            <w:r>
              <w:rPr>
                <w:rFonts w:hint="eastAsia"/>
                <w:color w:val="auto"/>
                <w:sz w:val="21"/>
                <w:szCs w:val="21"/>
                <w:lang w:val="en-US" w:eastAsia="zh-CN"/>
              </w:rPr>
              <w:t>拟文说明（定密依据）：</w:t>
            </w:r>
            <w:r>
              <w:rPr>
                <w:rFonts w:hint="default" w:ascii="Times New Roman" w:hAnsi="Times New Roman" w:cs="Times New Roman"/>
                <w:color w:val="auto"/>
                <w:sz w:val="24"/>
                <w:szCs w:val="24"/>
                <w:highlight w:val="none"/>
                <w:lang w:val="en-US" w:eastAsia="zh-CN"/>
              </w:rPr>
              <w:t>根据《中华人民共和国土地管理法》《中华人民共和国土地管理法实施条例》等法律法规的</w:t>
            </w:r>
            <w:r>
              <w:rPr>
                <w:rFonts w:hint="eastAsia" w:ascii="Times New Roman" w:hAnsi="Times New Roman" w:cs="Times New Roman"/>
                <w:color w:val="auto"/>
                <w:sz w:val="24"/>
                <w:szCs w:val="24"/>
                <w:highlight w:val="none"/>
                <w:lang w:val="en-US" w:eastAsia="zh-CN"/>
              </w:rPr>
              <w:t>有关</w:t>
            </w:r>
            <w:r>
              <w:rPr>
                <w:rFonts w:hint="default" w:ascii="Times New Roman" w:hAnsi="Times New Roman" w:cs="Times New Roman"/>
                <w:color w:val="auto"/>
                <w:sz w:val="24"/>
                <w:szCs w:val="24"/>
                <w:highlight w:val="none"/>
                <w:lang w:val="en-US" w:eastAsia="zh-CN"/>
              </w:rPr>
              <w:t>规定，</w:t>
            </w:r>
            <w:r>
              <w:rPr>
                <w:rFonts w:hint="eastAsia" w:ascii="Times New Roman" w:hAnsi="Times New Roman" w:cs="Times New Roman"/>
                <w:color w:val="auto"/>
                <w:sz w:val="24"/>
                <w:szCs w:val="24"/>
                <w:highlight w:val="none"/>
                <w:lang w:val="en-US" w:eastAsia="zh-CN"/>
              </w:rPr>
              <w:t>盘州市2024年度第十批次城镇建设用地</w:t>
            </w:r>
            <w:r>
              <w:rPr>
                <w:rFonts w:hint="default" w:ascii="Times New Roman" w:hAnsi="Times New Roman" w:cs="Times New Roman"/>
                <w:color w:val="auto"/>
                <w:sz w:val="24"/>
                <w:szCs w:val="24"/>
                <w:highlight w:val="none"/>
                <w:lang w:val="en-US" w:eastAsia="zh-CN"/>
              </w:rPr>
              <w:t>农用地转用和土地征收符合法律规定的公共利益情形，盘州市已依法完成土地征收前期工作，拟定农用地转用方案，用地符合节约集约</w:t>
            </w:r>
            <w:r>
              <w:rPr>
                <w:rFonts w:hint="eastAsia" w:ascii="Times New Roman" w:hAnsi="Times New Roman" w:cs="Times New Roman"/>
                <w:color w:val="auto"/>
                <w:sz w:val="24"/>
                <w:szCs w:val="24"/>
                <w:highlight w:val="none"/>
                <w:lang w:val="en-US" w:eastAsia="zh-CN"/>
              </w:rPr>
              <w:t>有关</w:t>
            </w:r>
            <w:r>
              <w:rPr>
                <w:rFonts w:hint="default" w:ascii="Times New Roman" w:hAnsi="Times New Roman" w:cs="Times New Roman"/>
                <w:color w:val="auto"/>
                <w:sz w:val="24"/>
                <w:szCs w:val="24"/>
                <w:highlight w:val="none"/>
                <w:lang w:val="en-US" w:eastAsia="zh-CN"/>
              </w:rPr>
              <w:t>规定，征地补偿安置符合规定要求，确需办理农用地转用并征收土地。现形成此稿，按程序审签后报送。</w:t>
            </w:r>
          </w:p>
        </w:tc>
        <w:tc>
          <w:tcPr>
            <w:tcW w:w="3625" w:type="dxa"/>
            <w:vMerge w:val="continue"/>
            <w:tcBorders>
              <w:top w:val="single" w:color="auto" w:sz="4" w:space="0"/>
              <w:left w:val="single" w:color="auto" w:sz="4" w:space="0"/>
              <w:bottom w:val="single" w:color="auto" w:sz="4" w:space="0"/>
              <w:tl2br w:val="nil"/>
              <w:tr2bl w:val="nil"/>
            </w:tcBorders>
            <w:vAlign w:val="top"/>
          </w:tcPr>
          <w:p w14:paraId="68356352">
            <w:pPr>
              <w:rPr>
                <w:rFonts w:hint="eastAsia"/>
                <w:color w:val="auto"/>
                <w:sz w:val="21"/>
                <w:szCs w:val="21"/>
                <w:lang w:val="en-US" w:eastAsia="zh-CN"/>
              </w:rPr>
            </w:pPr>
          </w:p>
        </w:tc>
      </w:tr>
      <w:tr w14:paraId="37FD5461">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1481" w:hRule="atLeast"/>
          <w:jc w:val="center"/>
        </w:trPr>
        <w:tc>
          <w:tcPr>
            <w:tcW w:w="6573" w:type="dxa"/>
            <w:gridSpan w:val="2"/>
            <w:vMerge w:val="continue"/>
            <w:tcBorders>
              <w:tl2br w:val="nil"/>
              <w:tr2bl w:val="nil"/>
            </w:tcBorders>
            <w:vAlign w:val="top"/>
          </w:tcPr>
          <w:p w14:paraId="066B296D">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04F72987">
            <w:pPr>
              <w:rPr>
                <w:rFonts w:hint="eastAsia"/>
                <w:color w:val="auto"/>
                <w:sz w:val="21"/>
                <w:szCs w:val="21"/>
                <w:lang w:val="en-US" w:eastAsia="zh-CN"/>
              </w:rPr>
            </w:pPr>
            <w:r>
              <w:rPr>
                <w:rFonts w:hint="eastAsia"/>
                <w:color w:val="auto"/>
                <w:sz w:val="21"/>
                <w:szCs w:val="21"/>
                <w:lang w:val="en-US" w:eastAsia="zh-CN"/>
              </w:rPr>
              <w:t>承办科室负责人审核：</w:t>
            </w:r>
          </w:p>
          <w:p w14:paraId="378FD73E">
            <w:pPr>
              <w:rPr>
                <w:rFonts w:hint="eastAsia"/>
                <w:color w:val="auto"/>
                <w:sz w:val="21"/>
                <w:szCs w:val="21"/>
                <w:lang w:val="en-US" w:eastAsia="zh-CN"/>
              </w:rPr>
            </w:pPr>
          </w:p>
          <w:p w14:paraId="6AC9C48A">
            <w:pPr>
              <w:rPr>
                <w:rFonts w:hint="eastAsia"/>
                <w:color w:val="auto"/>
                <w:sz w:val="21"/>
                <w:szCs w:val="21"/>
                <w:lang w:val="en-US" w:eastAsia="zh-CN"/>
              </w:rPr>
            </w:pPr>
          </w:p>
          <w:p w14:paraId="494E8007">
            <w:pPr>
              <w:rPr>
                <w:rFonts w:hint="eastAsia"/>
                <w:color w:val="auto"/>
                <w:sz w:val="21"/>
                <w:szCs w:val="21"/>
                <w:lang w:val="en-US" w:eastAsia="zh-CN"/>
              </w:rPr>
            </w:pPr>
          </w:p>
          <w:p w14:paraId="47ADF669">
            <w:pPr>
              <w:rPr>
                <w:rFonts w:hint="eastAsia"/>
                <w:color w:val="auto"/>
                <w:sz w:val="21"/>
                <w:szCs w:val="21"/>
                <w:lang w:val="en-US" w:eastAsia="zh-CN"/>
              </w:rPr>
            </w:pPr>
          </w:p>
          <w:p w14:paraId="67D6A7CC">
            <w:pPr>
              <w:rPr>
                <w:rFonts w:hint="eastAsia"/>
                <w:color w:val="auto"/>
                <w:sz w:val="21"/>
                <w:szCs w:val="21"/>
                <w:lang w:val="en-US" w:eastAsia="zh-CN"/>
              </w:rPr>
            </w:pPr>
          </w:p>
          <w:p w14:paraId="65DA89FF">
            <w:pPr>
              <w:rPr>
                <w:rFonts w:hint="eastAsia"/>
                <w:color w:val="auto"/>
                <w:sz w:val="21"/>
                <w:szCs w:val="21"/>
                <w:lang w:val="en-US" w:eastAsia="zh-CN"/>
              </w:rPr>
            </w:pPr>
            <w:r>
              <w:rPr>
                <w:rFonts w:hint="eastAsia"/>
                <w:color w:val="auto"/>
                <w:sz w:val="21"/>
                <w:szCs w:val="21"/>
                <w:lang w:val="en-US" w:eastAsia="zh-CN"/>
              </w:rPr>
              <w:t xml:space="preserve">                    年  月   日</w:t>
            </w:r>
          </w:p>
        </w:tc>
      </w:tr>
      <w:tr w14:paraId="6C6B91FF">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677" w:hRule="atLeast"/>
          <w:jc w:val="center"/>
        </w:trPr>
        <w:tc>
          <w:tcPr>
            <w:tcW w:w="6573" w:type="dxa"/>
            <w:gridSpan w:val="2"/>
            <w:vMerge w:val="restart"/>
            <w:tcBorders>
              <w:tl2br w:val="nil"/>
              <w:tr2bl w:val="nil"/>
            </w:tcBorders>
            <w:vAlign w:val="top"/>
          </w:tcPr>
          <w:p w14:paraId="615D9DF0">
            <w:pPr>
              <w:rPr>
                <w:rFonts w:hint="eastAsia"/>
                <w:color w:val="auto"/>
                <w:sz w:val="21"/>
                <w:szCs w:val="21"/>
                <w:lang w:val="en-US" w:eastAsia="zh-CN"/>
              </w:rPr>
            </w:pPr>
            <w:r>
              <w:rPr>
                <w:rFonts w:hint="eastAsia"/>
                <w:color w:val="auto"/>
                <w:sz w:val="21"/>
                <w:szCs w:val="21"/>
                <w:lang w:val="en-US" w:eastAsia="zh-CN"/>
              </w:rPr>
              <w:t>主送：</w:t>
            </w:r>
          </w:p>
        </w:tc>
        <w:tc>
          <w:tcPr>
            <w:tcW w:w="3625" w:type="dxa"/>
            <w:vMerge w:val="continue"/>
            <w:tcBorders>
              <w:top w:val="single" w:color="auto" w:sz="4" w:space="0"/>
              <w:bottom w:val="single" w:color="auto" w:sz="4" w:space="0"/>
              <w:tl2br w:val="nil"/>
              <w:tr2bl w:val="nil"/>
            </w:tcBorders>
            <w:vAlign w:val="top"/>
          </w:tcPr>
          <w:p w14:paraId="30035888">
            <w:pPr>
              <w:rPr>
                <w:rFonts w:hint="eastAsia"/>
                <w:color w:val="auto"/>
                <w:sz w:val="21"/>
                <w:szCs w:val="21"/>
                <w:lang w:val="en-US" w:eastAsia="zh-CN"/>
              </w:rPr>
            </w:pPr>
          </w:p>
        </w:tc>
      </w:tr>
      <w:tr w14:paraId="75E43E6C">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14" w:hRule="atLeast"/>
          <w:jc w:val="center"/>
        </w:trPr>
        <w:tc>
          <w:tcPr>
            <w:tcW w:w="6573" w:type="dxa"/>
            <w:gridSpan w:val="2"/>
            <w:vMerge w:val="continue"/>
            <w:tcBorders>
              <w:tl2br w:val="nil"/>
              <w:tr2bl w:val="nil"/>
            </w:tcBorders>
            <w:vAlign w:val="top"/>
          </w:tcPr>
          <w:p w14:paraId="41A485CC">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5A7401EA">
            <w:pPr>
              <w:rPr>
                <w:rFonts w:hint="eastAsia"/>
                <w:color w:val="auto"/>
                <w:sz w:val="21"/>
                <w:szCs w:val="21"/>
                <w:lang w:val="en-US" w:eastAsia="zh-CN"/>
              </w:rPr>
            </w:pPr>
            <w:r>
              <w:rPr>
                <w:rFonts w:hint="eastAsia"/>
                <w:color w:val="auto"/>
                <w:sz w:val="21"/>
                <w:szCs w:val="21"/>
                <w:lang w:val="en-US" w:eastAsia="zh-CN"/>
              </w:rPr>
              <w:t>承办科室拟稿人员：</w:t>
            </w:r>
          </w:p>
          <w:p w14:paraId="1DB15046">
            <w:pPr>
              <w:rPr>
                <w:rFonts w:hint="eastAsia"/>
                <w:color w:val="auto"/>
                <w:sz w:val="21"/>
                <w:szCs w:val="21"/>
                <w:lang w:val="en-US" w:eastAsia="zh-CN"/>
              </w:rPr>
            </w:pPr>
          </w:p>
          <w:p w14:paraId="32097A94">
            <w:pPr>
              <w:rPr>
                <w:rFonts w:hint="eastAsia"/>
                <w:color w:val="auto"/>
                <w:sz w:val="21"/>
                <w:szCs w:val="21"/>
                <w:lang w:val="en-US" w:eastAsia="zh-CN"/>
              </w:rPr>
            </w:pPr>
          </w:p>
          <w:p w14:paraId="06670887">
            <w:pPr>
              <w:rPr>
                <w:rFonts w:hint="eastAsia"/>
                <w:color w:val="auto"/>
                <w:sz w:val="21"/>
                <w:szCs w:val="21"/>
                <w:lang w:val="en-US" w:eastAsia="zh-CN"/>
              </w:rPr>
            </w:pPr>
          </w:p>
          <w:p w14:paraId="4EC7D788">
            <w:pPr>
              <w:rPr>
                <w:rFonts w:hint="eastAsia"/>
                <w:color w:val="auto"/>
                <w:sz w:val="21"/>
                <w:szCs w:val="21"/>
                <w:lang w:val="en-US" w:eastAsia="zh-CN"/>
              </w:rPr>
            </w:pPr>
            <w:r>
              <w:rPr>
                <w:rFonts w:hint="eastAsia"/>
                <w:color w:val="auto"/>
                <w:sz w:val="21"/>
                <w:szCs w:val="21"/>
                <w:lang w:val="en-US" w:eastAsia="zh-CN"/>
              </w:rPr>
              <w:t xml:space="preserve">                    年  月  日</w:t>
            </w:r>
          </w:p>
        </w:tc>
      </w:tr>
      <w:tr w14:paraId="0CB0C043">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706" w:hRule="atLeast"/>
          <w:jc w:val="center"/>
        </w:trPr>
        <w:tc>
          <w:tcPr>
            <w:tcW w:w="6573" w:type="dxa"/>
            <w:gridSpan w:val="2"/>
            <w:vMerge w:val="restart"/>
            <w:tcBorders>
              <w:tl2br w:val="nil"/>
              <w:tr2bl w:val="nil"/>
            </w:tcBorders>
            <w:vAlign w:val="top"/>
          </w:tcPr>
          <w:p w14:paraId="37F9A199">
            <w:pPr>
              <w:rPr>
                <w:rFonts w:hint="eastAsia"/>
                <w:color w:val="auto"/>
                <w:sz w:val="21"/>
                <w:szCs w:val="21"/>
                <w:lang w:val="en-US" w:eastAsia="zh-CN"/>
              </w:rPr>
            </w:pPr>
            <w:r>
              <w:rPr>
                <w:rFonts w:hint="eastAsia"/>
                <w:color w:val="auto"/>
                <w:sz w:val="21"/>
                <w:szCs w:val="21"/>
                <w:lang w:val="en-US" w:eastAsia="zh-CN"/>
              </w:rPr>
              <w:t>分（抄）送：</w:t>
            </w:r>
          </w:p>
          <w:p w14:paraId="7711C745">
            <w:pPr>
              <w:rPr>
                <w:rFonts w:hint="eastAsia"/>
                <w:color w:val="auto"/>
                <w:sz w:val="21"/>
                <w:szCs w:val="21"/>
                <w:lang w:val="en-US" w:eastAsia="zh-CN"/>
              </w:rPr>
            </w:pPr>
          </w:p>
        </w:tc>
        <w:tc>
          <w:tcPr>
            <w:tcW w:w="3625" w:type="dxa"/>
            <w:vMerge w:val="continue"/>
            <w:tcBorders>
              <w:top w:val="single" w:color="auto" w:sz="4" w:space="0"/>
              <w:bottom w:val="single" w:color="auto" w:sz="4" w:space="0"/>
              <w:tl2br w:val="nil"/>
              <w:tr2bl w:val="nil"/>
            </w:tcBorders>
            <w:vAlign w:val="top"/>
          </w:tcPr>
          <w:p w14:paraId="5DD632B0">
            <w:pPr>
              <w:rPr>
                <w:rFonts w:hint="eastAsia"/>
                <w:color w:val="auto"/>
                <w:sz w:val="21"/>
                <w:szCs w:val="21"/>
                <w:lang w:val="en-US" w:eastAsia="zh-CN"/>
              </w:rPr>
            </w:pPr>
          </w:p>
        </w:tc>
      </w:tr>
      <w:tr w14:paraId="40B91B36">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645" w:hRule="atLeast"/>
          <w:jc w:val="center"/>
        </w:trPr>
        <w:tc>
          <w:tcPr>
            <w:tcW w:w="6573" w:type="dxa"/>
            <w:gridSpan w:val="2"/>
            <w:vMerge w:val="continue"/>
            <w:tcBorders>
              <w:tl2br w:val="nil"/>
              <w:tr2bl w:val="nil"/>
            </w:tcBorders>
            <w:vAlign w:val="top"/>
          </w:tcPr>
          <w:p w14:paraId="76648A6D">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41E73F4B">
            <w:pPr>
              <w:rPr>
                <w:rFonts w:hint="eastAsia"/>
                <w:color w:val="auto"/>
                <w:sz w:val="21"/>
                <w:szCs w:val="21"/>
                <w:lang w:val="en-US" w:eastAsia="zh-CN"/>
              </w:rPr>
            </w:pPr>
            <w:r>
              <w:rPr>
                <w:rFonts w:hint="eastAsia"/>
                <w:color w:val="auto"/>
                <w:sz w:val="21"/>
                <w:szCs w:val="21"/>
                <w:lang w:val="en-US" w:eastAsia="zh-CN"/>
              </w:rPr>
              <w:t>承办科室清样校对：</w:t>
            </w:r>
          </w:p>
          <w:p w14:paraId="71183EC5">
            <w:pPr>
              <w:rPr>
                <w:rFonts w:hint="eastAsia"/>
                <w:color w:val="auto"/>
                <w:sz w:val="21"/>
                <w:szCs w:val="21"/>
                <w:lang w:val="en-US" w:eastAsia="zh-CN"/>
              </w:rPr>
            </w:pPr>
          </w:p>
          <w:p w14:paraId="357A77B0">
            <w:pPr>
              <w:rPr>
                <w:rFonts w:hint="eastAsia"/>
                <w:color w:val="auto"/>
                <w:sz w:val="21"/>
                <w:szCs w:val="21"/>
                <w:lang w:val="en-US" w:eastAsia="zh-CN"/>
              </w:rPr>
            </w:pPr>
          </w:p>
          <w:p w14:paraId="12EFF9FE">
            <w:pPr>
              <w:rPr>
                <w:rFonts w:hint="eastAsia"/>
                <w:color w:val="auto"/>
                <w:sz w:val="21"/>
                <w:szCs w:val="21"/>
                <w:lang w:val="en-US" w:eastAsia="zh-CN"/>
              </w:rPr>
            </w:pPr>
          </w:p>
          <w:p w14:paraId="0B739259">
            <w:pPr>
              <w:rPr>
                <w:rFonts w:hint="eastAsia"/>
                <w:color w:val="auto"/>
                <w:sz w:val="21"/>
                <w:szCs w:val="21"/>
                <w:lang w:val="en-US" w:eastAsia="zh-CN"/>
              </w:rPr>
            </w:pPr>
            <w:r>
              <w:rPr>
                <w:rFonts w:hint="eastAsia"/>
                <w:color w:val="auto"/>
                <w:sz w:val="21"/>
                <w:szCs w:val="21"/>
                <w:lang w:val="en-US" w:eastAsia="zh-CN"/>
              </w:rPr>
              <w:t xml:space="preserve">                    年  月  日</w:t>
            </w:r>
          </w:p>
        </w:tc>
      </w:tr>
      <w:tr w14:paraId="351E4A7D">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1753" w:hRule="atLeast"/>
          <w:jc w:val="center"/>
        </w:trPr>
        <w:tc>
          <w:tcPr>
            <w:tcW w:w="6573" w:type="dxa"/>
            <w:gridSpan w:val="2"/>
            <w:tcBorders>
              <w:tl2br w:val="nil"/>
              <w:tr2bl w:val="nil"/>
            </w:tcBorders>
            <w:vAlign w:val="top"/>
          </w:tcPr>
          <w:p w14:paraId="237289CD">
            <w:pPr>
              <w:rPr>
                <w:rFonts w:hint="eastAsia"/>
                <w:color w:val="auto"/>
                <w:sz w:val="21"/>
                <w:szCs w:val="21"/>
                <w:lang w:val="en-US" w:eastAsia="zh-CN"/>
              </w:rPr>
            </w:pPr>
            <w:r>
              <w:rPr>
                <w:rFonts w:hint="eastAsia"/>
                <w:color w:val="auto"/>
                <w:sz w:val="21"/>
                <w:szCs w:val="21"/>
                <w:lang w:val="en-US" w:eastAsia="zh-CN"/>
              </w:rPr>
              <w:t>备注：</w:t>
            </w:r>
          </w:p>
          <w:p w14:paraId="2920BCE3">
            <w:pPr>
              <w:rPr>
                <w:rFonts w:hint="eastAsia"/>
                <w:color w:val="auto"/>
                <w:sz w:val="21"/>
                <w:szCs w:val="21"/>
                <w:lang w:val="en-US" w:eastAsia="zh-CN"/>
              </w:rPr>
            </w:pPr>
          </w:p>
          <w:p w14:paraId="62C61AD2">
            <w:pPr>
              <w:rPr>
                <w:rFonts w:hint="eastAsia"/>
                <w:color w:val="auto"/>
                <w:sz w:val="21"/>
                <w:szCs w:val="21"/>
                <w:lang w:val="en-US" w:eastAsia="zh-CN"/>
              </w:rPr>
            </w:pPr>
          </w:p>
          <w:p w14:paraId="218D4FC6">
            <w:pPr>
              <w:rPr>
                <w:rFonts w:hint="eastAsia"/>
                <w:color w:val="auto"/>
                <w:sz w:val="21"/>
                <w:szCs w:val="21"/>
                <w:lang w:val="en-US" w:eastAsia="zh-CN"/>
              </w:rPr>
            </w:pPr>
          </w:p>
        </w:tc>
        <w:tc>
          <w:tcPr>
            <w:tcW w:w="3625" w:type="dxa"/>
            <w:vMerge w:val="continue"/>
            <w:tcBorders>
              <w:top w:val="single" w:color="auto" w:sz="4" w:space="0"/>
              <w:bottom w:val="single" w:color="auto" w:sz="4" w:space="0"/>
              <w:tl2br w:val="nil"/>
              <w:tr2bl w:val="nil"/>
            </w:tcBorders>
            <w:vAlign w:val="top"/>
          </w:tcPr>
          <w:p w14:paraId="4BEF6356">
            <w:pPr>
              <w:rPr>
                <w:rFonts w:hint="eastAsia"/>
                <w:color w:val="auto"/>
                <w:sz w:val="21"/>
                <w:szCs w:val="21"/>
                <w:lang w:val="en-US" w:eastAsia="zh-CN"/>
              </w:rPr>
            </w:pPr>
          </w:p>
        </w:tc>
      </w:tr>
    </w:tbl>
    <w:p w14:paraId="62743D0A">
      <w:pPr>
        <w:pStyle w:val="3"/>
        <w:rPr>
          <w:rFonts w:hint="eastAsia"/>
          <w:lang w:val="en-US" w:eastAsia="zh-CN"/>
        </w:rPr>
        <w:sectPr>
          <w:pgSz w:w="11906" w:h="16838"/>
          <w:pgMar w:top="1134" w:right="680" w:bottom="850" w:left="680" w:header="851" w:footer="992" w:gutter="0"/>
          <w:pgBorders>
            <w:top w:val="none" w:sz="0" w:space="0"/>
            <w:left w:val="none" w:sz="0" w:space="0"/>
            <w:bottom w:val="none" w:sz="0" w:space="0"/>
            <w:right w:val="none" w:sz="0" w:space="0"/>
          </w:pgBorders>
          <w:cols w:space="720" w:num="1"/>
          <w:rtlGutter w:val="0"/>
          <w:docGrid w:type="lines" w:linePitch="312" w:charSpace="0"/>
        </w:sectPr>
      </w:pPr>
    </w:p>
    <w:p w14:paraId="6477EBA1">
      <w:pPr>
        <w:spacing w:line="700" w:lineRule="exact"/>
        <w:jc w:val="center"/>
        <w:rPr>
          <w:rFonts w:hint="eastAsia" w:ascii="方正小标宋简体" w:hAnsi="方正小标宋简体" w:eastAsia="方正小标宋简体" w:cs="方正小标宋简体"/>
          <w:spacing w:val="11"/>
          <w:w w:val="95"/>
          <w:sz w:val="44"/>
          <w:szCs w:val="44"/>
          <w:highlight w:val="none"/>
          <w:lang w:eastAsia="zh-TW"/>
        </w:rPr>
      </w:pPr>
      <w:r>
        <w:rPr>
          <w:rFonts w:hint="eastAsia" w:ascii="方正小标宋简体" w:hAnsi="方正小标宋简体" w:eastAsia="方正小标宋简体" w:cs="方正小标宋简体"/>
          <w:spacing w:val="11"/>
          <w:w w:val="95"/>
          <w:sz w:val="44"/>
          <w:szCs w:val="44"/>
          <w:highlight w:val="none"/>
        </w:rPr>
        <w:t>盘州市人民政府关于</w:t>
      </w:r>
      <w:r>
        <w:rPr>
          <w:rFonts w:hint="eastAsia" w:ascii="方正小标宋简体" w:hAnsi="方正小标宋简体" w:eastAsia="方正小标宋简体" w:cs="方正小标宋简体"/>
          <w:spacing w:val="11"/>
          <w:sz w:val="44"/>
          <w:szCs w:val="44"/>
          <w:highlight w:val="none"/>
        </w:rPr>
        <w:t>申请</w:t>
      </w:r>
      <w:r>
        <w:rPr>
          <w:rFonts w:hint="eastAsia" w:ascii="方正小标宋简体" w:hAnsi="方正小标宋简体" w:eastAsia="方正小标宋简体" w:cs="方正小标宋简体"/>
          <w:spacing w:val="11"/>
          <w:w w:val="95"/>
          <w:sz w:val="44"/>
          <w:szCs w:val="44"/>
          <w:highlight w:val="none"/>
          <w:lang w:eastAsia="zh-CN"/>
        </w:rPr>
        <w:t>盘州市2024年度第十批次城镇建设用地</w:t>
      </w:r>
      <w:r>
        <w:rPr>
          <w:rFonts w:hint="eastAsia" w:ascii="方正小标宋简体" w:hAnsi="方正小标宋简体" w:eastAsia="方正小标宋简体" w:cs="方正小标宋简体"/>
          <w:spacing w:val="11"/>
          <w:w w:val="95"/>
          <w:sz w:val="44"/>
          <w:szCs w:val="44"/>
          <w:highlight w:val="none"/>
          <w:lang w:eastAsia="zh-TW"/>
        </w:rPr>
        <w:t>农用地转用</w:t>
      </w:r>
    </w:p>
    <w:p w14:paraId="679772A7">
      <w:pPr>
        <w:spacing w:line="700" w:lineRule="exact"/>
        <w:jc w:val="center"/>
        <w:rPr>
          <w:rFonts w:hint="eastAsia" w:ascii="方正小标宋简体" w:hAnsi="方正小标宋简体" w:eastAsia="方正小标宋简体" w:cs="方正小标宋简体"/>
          <w:spacing w:val="11"/>
          <w:w w:val="95"/>
          <w:sz w:val="44"/>
          <w:szCs w:val="44"/>
          <w:highlight w:val="none"/>
        </w:rPr>
      </w:pPr>
      <w:r>
        <w:rPr>
          <w:rFonts w:hint="eastAsia" w:ascii="方正小标宋简体" w:hAnsi="方正小标宋简体" w:eastAsia="方正小标宋简体" w:cs="方正小标宋简体"/>
          <w:spacing w:val="11"/>
          <w:w w:val="95"/>
          <w:sz w:val="44"/>
          <w:szCs w:val="44"/>
          <w:highlight w:val="none"/>
          <w:lang w:eastAsia="zh-TW"/>
        </w:rPr>
        <w:t>和</w:t>
      </w:r>
      <w:r>
        <w:rPr>
          <w:rFonts w:hint="eastAsia" w:ascii="方正小标宋简体" w:hAnsi="方正小标宋简体" w:eastAsia="方正小标宋简体" w:cs="方正小标宋简体"/>
          <w:spacing w:val="11"/>
          <w:w w:val="95"/>
          <w:sz w:val="44"/>
          <w:szCs w:val="44"/>
          <w:highlight w:val="none"/>
        </w:rPr>
        <w:t>土地征收的请示</w:t>
      </w:r>
    </w:p>
    <w:p w14:paraId="3816517A">
      <w:pPr>
        <w:spacing w:line="600" w:lineRule="exact"/>
        <w:ind w:firstLine="640" w:firstLineChars="200"/>
        <w:rPr>
          <w:rFonts w:ascii="Times New Roman" w:hAnsi="Times New Roman" w:eastAsia="仿宋_GB2312"/>
          <w:sz w:val="32"/>
          <w:szCs w:val="32"/>
          <w:highlight w:val="none"/>
          <w:lang w:eastAsia="zh-TW"/>
        </w:rPr>
      </w:pPr>
    </w:p>
    <w:p w14:paraId="4B4082DF">
      <w:pPr>
        <w:spacing w:line="578" w:lineRule="exact"/>
        <w:textAlignment w:val="bottom"/>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六盘水市人民政府：</w:t>
      </w:r>
    </w:p>
    <w:p w14:paraId="04E97EC8">
      <w:pPr>
        <w:spacing w:line="578" w:lineRule="exact"/>
        <w:ind w:left="1" w:firstLine="640" w:firstLineChars="200"/>
        <w:textAlignment w:val="bottom"/>
        <w:rPr>
          <w:rFonts w:hint="eastAsia" w:ascii="仿宋_GB2312" w:hAnsi="仿宋_GB2312" w:eastAsia="仿宋_GB2312" w:cs="仿宋_GB2312"/>
          <w:color w:val="000000"/>
          <w:kern w:val="0"/>
          <w:sz w:val="32"/>
          <w:szCs w:val="32"/>
          <w:highlight w:val="none"/>
          <w:lang w:eastAsia="zh-TW"/>
        </w:rPr>
      </w:pPr>
      <w:r>
        <w:rPr>
          <w:rFonts w:hint="eastAsia" w:ascii="仿宋_GB2312" w:hAnsi="仿宋_GB2312" w:eastAsia="仿宋_GB2312" w:cs="仿宋_GB2312"/>
          <w:color w:val="000000"/>
          <w:kern w:val="0"/>
          <w:sz w:val="32"/>
          <w:szCs w:val="32"/>
          <w:highlight w:val="none"/>
          <w:lang w:eastAsia="zh-TW"/>
        </w:rPr>
        <w:t>根据</w:t>
      </w:r>
      <w:r>
        <w:rPr>
          <w:rFonts w:hint="eastAsia" w:ascii="仿宋_GB2312" w:hAnsi="仿宋_GB2312" w:eastAsia="仿宋_GB2312" w:cs="仿宋_GB2312"/>
          <w:sz w:val="32"/>
          <w:szCs w:val="32"/>
          <w:highlight w:val="none"/>
        </w:rPr>
        <w:t>《中华人民共和国土地管理法</w:t>
      </w:r>
      <w:r>
        <w:rPr>
          <w:rFonts w:hint="eastAsia" w:ascii="仿宋_GB2312" w:hAnsi="仿宋_GB2312" w:eastAsia="仿宋_GB2312" w:cs="仿宋_GB2312"/>
          <w:sz w:val="32"/>
          <w:szCs w:val="32"/>
          <w:highlight w:val="none"/>
          <w:lang w:eastAsia="zh-TW"/>
        </w:rPr>
        <w:t>》《</w:t>
      </w:r>
      <w:r>
        <w:rPr>
          <w:rFonts w:hint="eastAsia" w:ascii="仿宋_GB2312" w:hAnsi="仿宋_GB2312" w:eastAsia="仿宋_GB2312" w:cs="仿宋_GB2312"/>
          <w:sz w:val="32"/>
          <w:szCs w:val="32"/>
          <w:highlight w:val="none"/>
        </w:rPr>
        <w:t>中华人民共和国土地管理法</w:t>
      </w:r>
      <w:r>
        <w:rPr>
          <w:rFonts w:hint="eastAsia" w:ascii="仿宋_GB2312" w:hAnsi="仿宋_GB2312" w:eastAsia="仿宋_GB2312" w:cs="仿宋_GB2312"/>
          <w:sz w:val="32"/>
          <w:szCs w:val="32"/>
          <w:highlight w:val="none"/>
          <w:lang w:eastAsia="zh-TW"/>
        </w:rPr>
        <w:t>实施条例》</w:t>
      </w:r>
      <w:r>
        <w:rPr>
          <w:rFonts w:hint="eastAsia" w:ascii="仿宋_GB2312" w:hAnsi="仿宋_GB2312" w:eastAsia="仿宋_GB2312" w:cs="仿宋_GB2312"/>
          <w:color w:val="000000"/>
          <w:kern w:val="0"/>
          <w:sz w:val="32"/>
          <w:szCs w:val="32"/>
          <w:highlight w:val="none"/>
          <w:lang w:eastAsia="zh-TW"/>
        </w:rPr>
        <w:t>等法律法规的</w:t>
      </w:r>
      <w:r>
        <w:rPr>
          <w:rFonts w:hint="eastAsia" w:ascii="仿宋_GB2312" w:hAnsi="仿宋_GB2312" w:eastAsia="仿宋_GB2312" w:cs="仿宋_GB2312"/>
          <w:color w:val="000000"/>
          <w:kern w:val="0"/>
          <w:sz w:val="32"/>
          <w:szCs w:val="32"/>
          <w:highlight w:val="none"/>
        </w:rPr>
        <w:t>有</w:t>
      </w:r>
      <w:r>
        <w:rPr>
          <w:rFonts w:hint="eastAsia" w:ascii="仿宋_GB2312" w:hAnsi="仿宋_GB2312" w:eastAsia="仿宋_GB2312" w:cs="仿宋_GB2312"/>
          <w:color w:val="000000"/>
          <w:kern w:val="0"/>
          <w:sz w:val="32"/>
          <w:szCs w:val="32"/>
          <w:highlight w:val="none"/>
          <w:lang w:eastAsia="zh-TW"/>
        </w:rPr>
        <w:t>关规定</w:t>
      </w:r>
      <w:r>
        <w:rPr>
          <w:rFonts w:hint="eastAsia" w:ascii="仿宋_GB2312" w:hAnsi="仿宋_GB2312" w:eastAsia="仿宋_GB2312" w:cs="仿宋_GB2312"/>
          <w:kern w:val="2"/>
          <w:sz w:val="32"/>
          <w:szCs w:val="32"/>
          <w:highlight w:val="none"/>
          <w:lang w:eastAsia="zh-TW"/>
        </w:rPr>
        <w:t>，</w:t>
      </w:r>
      <w:r>
        <w:rPr>
          <w:rFonts w:hint="eastAsia" w:ascii="仿宋_GB2312" w:hAnsi="仿宋_GB2312" w:eastAsia="仿宋_GB2312" w:cs="仿宋_GB2312"/>
          <w:kern w:val="2"/>
          <w:sz w:val="32"/>
          <w:szCs w:val="32"/>
          <w:highlight w:val="none"/>
          <w:lang w:eastAsia="zh-CN"/>
        </w:rPr>
        <w:t>盘州市2024年度第十批次城镇建设用地</w:t>
      </w:r>
      <w:r>
        <w:rPr>
          <w:rFonts w:hint="eastAsia" w:ascii="仿宋_GB2312" w:hAnsi="仿宋_GB2312" w:eastAsia="仿宋_GB2312" w:cs="仿宋_GB2312"/>
          <w:sz w:val="32"/>
          <w:szCs w:val="32"/>
          <w:highlight w:val="none"/>
        </w:rPr>
        <w:t>农用地转用和</w:t>
      </w:r>
      <w:r>
        <w:rPr>
          <w:rFonts w:hint="eastAsia" w:ascii="仿宋_GB2312" w:hAnsi="仿宋_GB2312" w:eastAsia="仿宋_GB2312" w:cs="仿宋_GB2312"/>
          <w:kern w:val="2"/>
          <w:sz w:val="32"/>
          <w:szCs w:val="32"/>
          <w:highlight w:val="none"/>
          <w:lang w:eastAsia="zh-TW"/>
        </w:rPr>
        <w:t>土地征收符合法律规定的公共利益情形，盘州市已依法完成土地征收前期工作</w:t>
      </w:r>
      <w:r>
        <w:rPr>
          <w:rFonts w:hint="eastAsia" w:ascii="仿宋_GB2312" w:hAnsi="仿宋_GB2312" w:eastAsia="仿宋_GB2312" w:cs="仿宋_GB2312"/>
          <w:sz w:val="32"/>
          <w:szCs w:val="32"/>
          <w:highlight w:val="none"/>
          <w:lang w:eastAsia="zh-TW"/>
        </w:rPr>
        <w:t>，拟</w:t>
      </w:r>
      <w:r>
        <w:rPr>
          <w:rFonts w:hint="eastAsia" w:ascii="仿宋_GB2312" w:hAnsi="仿宋_GB2312" w:eastAsia="仿宋_GB2312" w:cs="仿宋_GB2312"/>
          <w:sz w:val="32"/>
          <w:szCs w:val="32"/>
          <w:highlight w:val="none"/>
        </w:rPr>
        <w:t>定</w:t>
      </w:r>
      <w:r>
        <w:rPr>
          <w:rFonts w:hint="eastAsia" w:ascii="仿宋_GB2312" w:hAnsi="仿宋_GB2312" w:eastAsia="仿宋_GB2312" w:cs="仿宋_GB2312"/>
          <w:sz w:val="32"/>
          <w:szCs w:val="32"/>
          <w:highlight w:val="none"/>
          <w:lang w:eastAsia="zh-TW"/>
        </w:rPr>
        <w:t>农用地转用方案，</w:t>
      </w:r>
      <w:r>
        <w:rPr>
          <w:rFonts w:hint="eastAsia" w:ascii="仿宋_GB2312" w:hAnsi="仿宋_GB2312" w:eastAsia="仿宋_GB2312" w:cs="仿宋_GB2312"/>
          <w:kern w:val="0"/>
          <w:sz w:val="32"/>
          <w:szCs w:val="32"/>
          <w:highlight w:val="none"/>
          <w:lang w:eastAsia="zh-TW"/>
        </w:rPr>
        <w:t>用地符合节约集约</w:t>
      </w:r>
      <w:r>
        <w:rPr>
          <w:rFonts w:hint="eastAsia" w:ascii="仿宋_GB2312" w:hAnsi="仿宋_GB2312" w:eastAsia="仿宋_GB2312" w:cs="仿宋_GB2312"/>
          <w:kern w:val="0"/>
          <w:sz w:val="32"/>
          <w:szCs w:val="32"/>
          <w:highlight w:val="none"/>
        </w:rPr>
        <w:t>有关</w:t>
      </w:r>
      <w:r>
        <w:rPr>
          <w:rFonts w:hint="eastAsia" w:ascii="仿宋_GB2312" w:hAnsi="仿宋_GB2312" w:eastAsia="仿宋_GB2312" w:cs="仿宋_GB2312"/>
          <w:kern w:val="0"/>
          <w:sz w:val="32"/>
          <w:szCs w:val="32"/>
          <w:highlight w:val="none"/>
          <w:lang w:eastAsia="zh-TW"/>
        </w:rPr>
        <w:t>规定，</w:t>
      </w:r>
      <w:r>
        <w:rPr>
          <w:rFonts w:hint="eastAsia" w:ascii="仿宋_GB2312" w:hAnsi="仿宋_GB2312" w:eastAsia="仿宋_GB2312" w:cs="仿宋_GB2312"/>
          <w:color w:val="000000"/>
          <w:kern w:val="0"/>
          <w:sz w:val="32"/>
          <w:szCs w:val="32"/>
          <w:highlight w:val="none"/>
          <w:lang w:eastAsia="zh-TW"/>
        </w:rPr>
        <w:t>征地补偿安置符合规定要求，</w:t>
      </w:r>
      <w:r>
        <w:rPr>
          <w:rFonts w:hint="eastAsia" w:ascii="仿宋_GB2312" w:hAnsi="仿宋_GB2312" w:eastAsia="仿宋_GB2312" w:cs="仿宋_GB2312"/>
          <w:sz w:val="32"/>
          <w:szCs w:val="32"/>
          <w:highlight w:val="none"/>
          <w:lang w:eastAsia="zh-TW"/>
        </w:rPr>
        <w:t>确需办理农用地转用并征收土地</w:t>
      </w:r>
      <w:r>
        <w:rPr>
          <w:rFonts w:hint="eastAsia" w:ascii="仿宋_GB2312" w:hAnsi="仿宋_GB2312" w:eastAsia="仿宋_GB2312" w:cs="仿宋_GB2312"/>
          <w:color w:val="000000"/>
          <w:kern w:val="0"/>
          <w:sz w:val="32"/>
          <w:szCs w:val="32"/>
          <w:highlight w:val="none"/>
          <w:lang w:eastAsia="zh-TW"/>
        </w:rPr>
        <w:t>。现具体说明如下：</w:t>
      </w:r>
    </w:p>
    <w:p w14:paraId="0CB16300">
      <w:pPr>
        <w:numPr>
          <w:ilvl w:val="0"/>
          <w:numId w:val="1"/>
        </w:numPr>
        <w:spacing w:line="578"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基本情况</w:t>
      </w:r>
    </w:p>
    <w:p w14:paraId="0C2FAE27">
      <w:pPr>
        <w:spacing w:line="578" w:lineRule="exact"/>
        <w:ind w:firstLine="640" w:firstLineChars="200"/>
        <w:rPr>
          <w:rFonts w:hint="default" w:ascii="仿宋_GB2312" w:hAnsi="仿宋_GB2312" w:eastAsia="仿宋_GB2312" w:cs="仿宋_GB2312"/>
          <w:color w:val="FF0000"/>
          <w:kern w:val="0"/>
          <w:sz w:val="32"/>
          <w:szCs w:val="32"/>
          <w:highlight w:val="none"/>
          <w:lang w:val="en-US" w:eastAsia="zh-CN"/>
        </w:rPr>
      </w:pPr>
      <w:r>
        <w:rPr>
          <w:rFonts w:hint="eastAsia" w:ascii="仿宋_GB2312" w:hAnsi="仿宋_GB2312" w:eastAsia="仿宋_GB2312" w:cs="仿宋_GB2312"/>
          <w:color w:val="FF0000"/>
          <w:kern w:val="0"/>
          <w:sz w:val="32"/>
          <w:szCs w:val="32"/>
          <w:highlight w:val="none"/>
        </w:rPr>
        <w:t>该批次用地总面积</w:t>
      </w:r>
      <w:r>
        <w:rPr>
          <w:rFonts w:hint="eastAsia" w:ascii="仿宋_GB2312" w:hAnsi="仿宋_GB2312" w:eastAsia="仿宋_GB2312" w:cs="仿宋_GB2312"/>
          <w:color w:val="FF0000"/>
          <w:kern w:val="0"/>
          <w:sz w:val="32"/>
          <w:szCs w:val="32"/>
          <w:highlight w:val="none"/>
          <w:lang w:val="en-US" w:eastAsia="zh-CN"/>
        </w:rPr>
        <w:t>6.5533</w:t>
      </w:r>
      <w:r>
        <w:rPr>
          <w:rFonts w:hint="eastAsia" w:ascii="仿宋_GB2312" w:hAnsi="仿宋_GB2312" w:eastAsia="仿宋_GB2312" w:cs="仿宋_GB2312"/>
          <w:color w:val="FF0000"/>
          <w:kern w:val="0"/>
          <w:sz w:val="32"/>
          <w:szCs w:val="32"/>
          <w:highlight w:val="none"/>
        </w:rPr>
        <w:t>公顷，其中农用地</w:t>
      </w:r>
      <w:r>
        <w:rPr>
          <w:rFonts w:hint="eastAsia" w:ascii="仿宋_GB2312" w:hAnsi="仿宋_GB2312" w:eastAsia="仿宋_GB2312" w:cs="仿宋_GB2312"/>
          <w:color w:val="FF0000"/>
          <w:kern w:val="0"/>
          <w:sz w:val="32"/>
          <w:szCs w:val="32"/>
          <w:highlight w:val="none"/>
          <w:lang w:val="en-US" w:eastAsia="zh-CN"/>
        </w:rPr>
        <w:t>5.2818</w:t>
      </w:r>
      <w:r>
        <w:rPr>
          <w:rFonts w:hint="eastAsia" w:ascii="仿宋_GB2312" w:hAnsi="仿宋_GB2312" w:eastAsia="仿宋_GB2312" w:cs="仿宋_GB2312"/>
          <w:color w:val="FF0000"/>
          <w:kern w:val="0"/>
          <w:sz w:val="32"/>
          <w:szCs w:val="32"/>
          <w:highlight w:val="none"/>
        </w:rPr>
        <w:t>公顷（耕地</w:t>
      </w:r>
      <w:r>
        <w:rPr>
          <w:rFonts w:hint="eastAsia" w:ascii="仿宋_GB2312" w:hAnsi="仿宋_GB2312" w:eastAsia="仿宋_GB2312" w:cs="仿宋_GB2312"/>
          <w:color w:val="FF0000"/>
          <w:kern w:val="0"/>
          <w:sz w:val="32"/>
          <w:szCs w:val="32"/>
          <w:highlight w:val="none"/>
          <w:lang w:val="en-US" w:eastAsia="zh-CN"/>
        </w:rPr>
        <w:t>3.8491</w:t>
      </w:r>
      <w:r>
        <w:rPr>
          <w:rFonts w:hint="eastAsia" w:ascii="仿宋_GB2312" w:hAnsi="仿宋_GB2312" w:eastAsia="仿宋_GB2312" w:cs="仿宋_GB2312"/>
          <w:color w:val="FF0000"/>
          <w:kern w:val="0"/>
          <w:sz w:val="32"/>
          <w:szCs w:val="32"/>
          <w:highlight w:val="none"/>
        </w:rPr>
        <w:t>公顷</w:t>
      </w:r>
      <w:r>
        <w:rPr>
          <w:rFonts w:hint="eastAsia" w:ascii="仿宋_GB2312" w:hAnsi="仿宋_GB2312" w:eastAsia="仿宋_GB2312" w:cs="仿宋_GB2312"/>
          <w:color w:val="FF0000"/>
          <w:kern w:val="0"/>
          <w:sz w:val="32"/>
          <w:szCs w:val="32"/>
          <w:highlight w:val="none"/>
          <w:lang w:val="en-US" w:eastAsia="zh-CN"/>
        </w:rPr>
        <w:t>〈水田0.9376公顷，旱地2.9115公顷〉</w:t>
      </w:r>
      <w:r>
        <w:rPr>
          <w:rFonts w:hint="eastAsia" w:ascii="仿宋_GB2312" w:hAnsi="仿宋_GB2312" w:eastAsia="仿宋_GB2312" w:cs="仿宋_GB2312"/>
          <w:color w:val="FF0000"/>
          <w:kern w:val="0"/>
          <w:sz w:val="32"/>
          <w:szCs w:val="32"/>
          <w:highlight w:val="none"/>
        </w:rPr>
        <w:t>、园地0.4084</w:t>
      </w:r>
      <w:r>
        <w:rPr>
          <w:rFonts w:hint="eastAsia" w:ascii="仿宋_GB2312" w:hAnsi="仿宋_GB2312" w:eastAsia="仿宋_GB2312" w:cs="仿宋_GB2312"/>
          <w:color w:val="FF0000"/>
          <w:kern w:val="0"/>
          <w:sz w:val="32"/>
          <w:szCs w:val="32"/>
          <w:highlight w:val="none"/>
          <w:lang w:val="en-US" w:eastAsia="zh-CN"/>
        </w:rPr>
        <w:t>公顷、林地0.4748公顷、其他农用地0.5495公顷</w:t>
      </w:r>
      <w:r>
        <w:rPr>
          <w:rFonts w:hint="eastAsia" w:ascii="仿宋_GB2312" w:hAnsi="仿宋_GB2312" w:eastAsia="仿宋_GB2312" w:cs="仿宋_GB2312"/>
          <w:color w:val="FF0000"/>
          <w:kern w:val="0"/>
          <w:sz w:val="32"/>
          <w:szCs w:val="32"/>
          <w:highlight w:val="none"/>
        </w:rPr>
        <w:t>）、</w:t>
      </w:r>
      <w:r>
        <w:rPr>
          <w:rFonts w:hint="eastAsia" w:ascii="仿宋_GB2312" w:hAnsi="仿宋_GB2312" w:eastAsia="仿宋_GB2312" w:cs="仿宋_GB2312"/>
          <w:color w:val="FF0000"/>
          <w:kern w:val="0"/>
          <w:sz w:val="32"/>
          <w:szCs w:val="32"/>
          <w:highlight w:val="none"/>
          <w:lang w:val="en-US" w:eastAsia="zh-CN"/>
        </w:rPr>
        <w:t>建设用地0.1752公顷、未利用地1.0963公顷</w:t>
      </w:r>
      <w:r>
        <w:rPr>
          <w:rFonts w:hint="eastAsia" w:ascii="仿宋_GB2312" w:hAnsi="仿宋_GB2312" w:eastAsia="仿宋_GB2312" w:cs="仿宋_GB2312"/>
          <w:color w:val="FF0000"/>
          <w:kern w:val="0"/>
          <w:sz w:val="32"/>
          <w:szCs w:val="32"/>
          <w:highlight w:val="none"/>
        </w:rPr>
        <w:t>。</w:t>
      </w:r>
    </w:p>
    <w:p w14:paraId="6F2A2D98">
      <w:pPr>
        <w:spacing w:line="578" w:lineRule="exact"/>
        <w:ind w:firstLine="640" w:firstLineChars="200"/>
        <w:rPr>
          <w:rFonts w:hint="eastAsia" w:ascii="仿宋_GB2312" w:hAnsi="仿宋_GB2312" w:eastAsia="仿宋_GB2312" w:cs="仿宋_GB2312"/>
          <w:color w:val="FF0000"/>
          <w:kern w:val="0"/>
          <w:sz w:val="32"/>
          <w:szCs w:val="32"/>
          <w:highlight w:val="none"/>
        </w:rPr>
      </w:pPr>
      <w:r>
        <w:rPr>
          <w:rFonts w:hint="eastAsia" w:ascii="仿宋_GB2312" w:hAnsi="仿宋_GB2312" w:eastAsia="仿宋_GB2312" w:cs="仿宋_GB2312"/>
          <w:color w:val="FF0000"/>
          <w:kern w:val="0"/>
          <w:sz w:val="32"/>
          <w:szCs w:val="32"/>
          <w:highlight w:val="none"/>
        </w:rPr>
        <w:t>拟申请将</w:t>
      </w:r>
      <w:r>
        <w:rPr>
          <w:rFonts w:hint="eastAsia" w:ascii="仿宋_GB2312" w:hAnsi="仿宋_GB2312" w:eastAsia="仿宋_GB2312" w:cs="仿宋_GB2312"/>
          <w:color w:val="FF0000"/>
          <w:sz w:val="32"/>
          <w:szCs w:val="32"/>
          <w:highlight w:val="none"/>
        </w:rPr>
        <w:t>农用地</w:t>
      </w:r>
      <w:r>
        <w:rPr>
          <w:rFonts w:hint="eastAsia" w:ascii="仿宋_GB2312" w:hAnsi="仿宋_GB2312" w:eastAsia="仿宋_GB2312" w:cs="仿宋_GB2312"/>
          <w:color w:val="FF0000"/>
          <w:sz w:val="32"/>
          <w:szCs w:val="32"/>
          <w:highlight w:val="none"/>
          <w:lang w:val="en-US" w:eastAsia="zh-CN"/>
        </w:rPr>
        <w:t>5.2818</w:t>
      </w:r>
      <w:r>
        <w:rPr>
          <w:rFonts w:hint="eastAsia" w:ascii="仿宋_GB2312" w:hAnsi="仿宋_GB2312" w:eastAsia="仿宋_GB2312" w:cs="仿宋_GB2312"/>
          <w:color w:val="FF0000"/>
          <w:sz w:val="32"/>
          <w:szCs w:val="32"/>
          <w:highlight w:val="none"/>
        </w:rPr>
        <w:t>公顷</w:t>
      </w:r>
      <w:r>
        <w:rPr>
          <w:rFonts w:hint="eastAsia" w:ascii="仿宋_GB2312" w:hAnsi="仿宋_GB2312" w:eastAsia="仿宋_GB2312" w:cs="仿宋_GB2312"/>
          <w:color w:val="FF0000"/>
          <w:sz w:val="32"/>
          <w:szCs w:val="32"/>
          <w:highlight w:val="none"/>
          <w:lang w:eastAsia="zh-CN"/>
        </w:rPr>
        <w:t>（</w:t>
      </w:r>
      <w:r>
        <w:rPr>
          <w:rFonts w:hint="eastAsia" w:ascii="仿宋_GB2312" w:hAnsi="仿宋_GB2312" w:eastAsia="仿宋_GB2312" w:cs="仿宋_GB2312"/>
          <w:color w:val="FF0000"/>
          <w:sz w:val="32"/>
          <w:szCs w:val="32"/>
          <w:highlight w:val="none"/>
        </w:rPr>
        <w:t>耕地</w:t>
      </w:r>
      <w:r>
        <w:rPr>
          <w:rFonts w:hint="eastAsia" w:ascii="仿宋_GB2312" w:hAnsi="仿宋_GB2312" w:eastAsia="仿宋_GB2312" w:cs="仿宋_GB2312"/>
          <w:color w:val="FF0000"/>
          <w:kern w:val="0"/>
          <w:sz w:val="32"/>
          <w:szCs w:val="32"/>
          <w:highlight w:val="none"/>
          <w:lang w:val="en-US" w:eastAsia="zh-CN"/>
        </w:rPr>
        <w:t>3.8491</w:t>
      </w:r>
      <w:r>
        <w:rPr>
          <w:rFonts w:hint="eastAsia" w:ascii="仿宋_GB2312" w:hAnsi="仿宋_GB2312" w:eastAsia="仿宋_GB2312" w:cs="仿宋_GB2312"/>
          <w:color w:val="FF0000"/>
          <w:sz w:val="32"/>
          <w:szCs w:val="32"/>
          <w:highlight w:val="none"/>
        </w:rPr>
        <w:t>公顷</w:t>
      </w:r>
      <w:r>
        <w:rPr>
          <w:rFonts w:hint="eastAsia" w:ascii="仿宋_GB2312" w:hAnsi="仿宋_GB2312" w:eastAsia="仿宋_GB2312" w:cs="仿宋_GB2312"/>
          <w:color w:val="FF0000"/>
          <w:kern w:val="0"/>
          <w:sz w:val="32"/>
          <w:szCs w:val="32"/>
          <w:highlight w:val="none"/>
          <w:lang w:val="en-US" w:eastAsia="zh-CN"/>
        </w:rPr>
        <w:t>〈水田0.9376公顷，旱地2.9115公顷〉</w:t>
      </w:r>
      <w:r>
        <w:rPr>
          <w:rFonts w:hint="eastAsia" w:ascii="仿宋_GB2312" w:hAnsi="仿宋_GB2312" w:eastAsia="仿宋_GB2312" w:cs="仿宋_GB2312"/>
          <w:color w:val="FF0000"/>
          <w:sz w:val="32"/>
          <w:szCs w:val="32"/>
          <w:highlight w:val="none"/>
        </w:rPr>
        <w:t>、不涉及永久基本农田</w:t>
      </w:r>
      <w:r>
        <w:rPr>
          <w:rFonts w:hint="eastAsia" w:ascii="仿宋_GB2312" w:hAnsi="仿宋_GB2312" w:eastAsia="仿宋_GB2312" w:cs="仿宋_GB2312"/>
          <w:color w:val="FF0000"/>
          <w:sz w:val="32"/>
          <w:szCs w:val="32"/>
          <w:highlight w:val="none"/>
          <w:lang w:eastAsia="zh-CN"/>
        </w:rPr>
        <w:t>）、</w:t>
      </w:r>
      <w:r>
        <w:rPr>
          <w:rFonts w:hint="eastAsia" w:ascii="仿宋_GB2312" w:hAnsi="仿宋_GB2312" w:eastAsia="仿宋_GB2312" w:cs="仿宋_GB2312"/>
          <w:color w:val="FF0000"/>
          <w:sz w:val="32"/>
          <w:szCs w:val="32"/>
          <w:highlight w:val="none"/>
          <w:lang w:val="en-US" w:eastAsia="zh-CN"/>
        </w:rPr>
        <w:t>未利用地1.0963公顷</w:t>
      </w:r>
      <w:r>
        <w:rPr>
          <w:rFonts w:hint="eastAsia" w:ascii="仿宋_GB2312" w:hAnsi="仿宋_GB2312" w:eastAsia="仿宋_GB2312" w:cs="仿宋_GB2312"/>
          <w:color w:val="FF0000"/>
          <w:sz w:val="32"/>
          <w:szCs w:val="32"/>
          <w:highlight w:val="none"/>
        </w:rPr>
        <w:t>转为建设用地。</w:t>
      </w:r>
      <w:r>
        <w:rPr>
          <w:rFonts w:hint="eastAsia" w:ascii="仿宋_GB2312" w:hAnsi="仿宋_GB2312" w:eastAsia="仿宋_GB2312" w:cs="仿宋_GB2312"/>
          <w:color w:val="FF0000"/>
          <w:kern w:val="0"/>
          <w:sz w:val="32"/>
          <w:szCs w:val="32"/>
          <w:highlight w:val="none"/>
        </w:rPr>
        <w:t>拟申请征收农民集体土地</w:t>
      </w:r>
      <w:r>
        <w:rPr>
          <w:rFonts w:hint="eastAsia" w:ascii="仿宋_GB2312" w:hAnsi="仿宋_GB2312" w:eastAsia="仿宋_GB2312" w:cs="仿宋_GB2312"/>
          <w:color w:val="FF0000"/>
          <w:kern w:val="0"/>
          <w:sz w:val="32"/>
          <w:szCs w:val="32"/>
          <w:highlight w:val="none"/>
          <w:lang w:val="en-US" w:eastAsia="zh-CN"/>
        </w:rPr>
        <w:t>6.5533</w:t>
      </w:r>
      <w:r>
        <w:rPr>
          <w:rFonts w:hint="eastAsia" w:ascii="仿宋_GB2312" w:hAnsi="仿宋_GB2312" w:eastAsia="仿宋_GB2312" w:cs="仿宋_GB2312"/>
          <w:color w:val="FF0000"/>
          <w:kern w:val="0"/>
          <w:sz w:val="32"/>
          <w:szCs w:val="32"/>
          <w:highlight w:val="none"/>
        </w:rPr>
        <w:t>公顷，其中：农用地</w:t>
      </w:r>
      <w:r>
        <w:rPr>
          <w:rFonts w:hint="eastAsia" w:ascii="仿宋_GB2312" w:hAnsi="仿宋_GB2312" w:eastAsia="仿宋_GB2312" w:cs="仿宋_GB2312"/>
          <w:color w:val="FF0000"/>
          <w:kern w:val="0"/>
          <w:sz w:val="32"/>
          <w:szCs w:val="32"/>
          <w:highlight w:val="none"/>
          <w:lang w:val="en-US" w:eastAsia="zh-CN"/>
        </w:rPr>
        <w:t>5.2818</w:t>
      </w:r>
      <w:r>
        <w:rPr>
          <w:rFonts w:hint="eastAsia" w:ascii="仿宋_GB2312" w:hAnsi="仿宋_GB2312" w:eastAsia="仿宋_GB2312" w:cs="仿宋_GB2312"/>
          <w:color w:val="FF0000"/>
          <w:kern w:val="0"/>
          <w:sz w:val="32"/>
          <w:szCs w:val="32"/>
          <w:highlight w:val="none"/>
        </w:rPr>
        <w:t>公顷（耕地</w:t>
      </w:r>
      <w:r>
        <w:rPr>
          <w:rFonts w:hint="eastAsia" w:ascii="仿宋_GB2312" w:hAnsi="仿宋_GB2312" w:eastAsia="仿宋_GB2312" w:cs="仿宋_GB2312"/>
          <w:color w:val="FF0000"/>
          <w:kern w:val="0"/>
          <w:sz w:val="32"/>
          <w:szCs w:val="32"/>
          <w:highlight w:val="none"/>
          <w:lang w:val="en-US" w:eastAsia="zh-CN"/>
        </w:rPr>
        <w:t>3.8491</w:t>
      </w:r>
      <w:r>
        <w:rPr>
          <w:rFonts w:hint="eastAsia" w:ascii="仿宋_GB2312" w:hAnsi="仿宋_GB2312" w:eastAsia="仿宋_GB2312" w:cs="仿宋_GB2312"/>
          <w:color w:val="FF0000"/>
          <w:kern w:val="0"/>
          <w:sz w:val="32"/>
          <w:szCs w:val="32"/>
          <w:highlight w:val="none"/>
        </w:rPr>
        <w:t>公顷</w:t>
      </w:r>
      <w:r>
        <w:rPr>
          <w:rFonts w:hint="eastAsia" w:ascii="仿宋_GB2312" w:hAnsi="仿宋_GB2312" w:eastAsia="仿宋_GB2312" w:cs="仿宋_GB2312"/>
          <w:color w:val="FF0000"/>
          <w:kern w:val="0"/>
          <w:sz w:val="32"/>
          <w:szCs w:val="32"/>
          <w:highlight w:val="none"/>
          <w:lang w:val="en-US" w:eastAsia="zh-CN"/>
        </w:rPr>
        <w:t>〈水田0.9376公顷，旱地2.9115公顷〉</w:t>
      </w:r>
      <w:r>
        <w:rPr>
          <w:rFonts w:hint="eastAsia" w:ascii="仿宋_GB2312" w:hAnsi="仿宋_GB2312" w:eastAsia="仿宋_GB2312" w:cs="仿宋_GB2312"/>
          <w:color w:val="FF0000"/>
          <w:kern w:val="0"/>
          <w:sz w:val="32"/>
          <w:szCs w:val="32"/>
          <w:highlight w:val="none"/>
        </w:rPr>
        <w:t>、园地0.4084</w:t>
      </w:r>
      <w:r>
        <w:rPr>
          <w:rFonts w:hint="eastAsia" w:ascii="仿宋_GB2312" w:hAnsi="仿宋_GB2312" w:eastAsia="仿宋_GB2312" w:cs="仿宋_GB2312"/>
          <w:color w:val="FF0000"/>
          <w:kern w:val="0"/>
          <w:sz w:val="32"/>
          <w:szCs w:val="32"/>
          <w:highlight w:val="none"/>
          <w:lang w:val="en-US" w:eastAsia="zh-CN"/>
        </w:rPr>
        <w:t>公顷、林地0.4748公顷、其他农用地0.5495公顷</w:t>
      </w:r>
      <w:r>
        <w:rPr>
          <w:rFonts w:hint="eastAsia" w:ascii="仿宋_GB2312" w:hAnsi="仿宋_GB2312" w:eastAsia="仿宋_GB2312" w:cs="仿宋_GB2312"/>
          <w:color w:val="FF0000"/>
          <w:kern w:val="0"/>
          <w:sz w:val="32"/>
          <w:szCs w:val="32"/>
          <w:highlight w:val="none"/>
        </w:rPr>
        <w:t>）</w:t>
      </w:r>
      <w:r>
        <w:rPr>
          <w:rFonts w:hint="eastAsia" w:ascii="仿宋_GB2312" w:hAnsi="仿宋_GB2312" w:eastAsia="仿宋_GB2312" w:cs="仿宋_GB2312"/>
          <w:color w:val="FF0000"/>
          <w:kern w:val="0"/>
          <w:sz w:val="32"/>
          <w:szCs w:val="32"/>
          <w:highlight w:val="none"/>
          <w:lang w:eastAsia="zh-CN"/>
        </w:rPr>
        <w:t>、</w:t>
      </w:r>
      <w:r>
        <w:rPr>
          <w:rFonts w:hint="eastAsia" w:ascii="仿宋_GB2312" w:hAnsi="仿宋_GB2312" w:eastAsia="仿宋_GB2312" w:cs="仿宋_GB2312"/>
          <w:color w:val="FF0000"/>
          <w:kern w:val="0"/>
          <w:sz w:val="32"/>
          <w:szCs w:val="32"/>
          <w:highlight w:val="none"/>
          <w:lang w:val="en-US" w:eastAsia="zh-CN"/>
        </w:rPr>
        <w:t>建设用地0.1752公顷、未利用地1.0963公顷。</w:t>
      </w:r>
    </w:p>
    <w:p w14:paraId="469DBD4E">
      <w:pPr>
        <w:spacing w:line="578"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该批次用地不占用永久基本农田。拟申请征收土地涉及</w:t>
      </w:r>
      <w:r>
        <w:rPr>
          <w:rFonts w:hint="eastAsia" w:ascii="仿宋_GB2312" w:hAnsi="仿宋_GB2312" w:eastAsia="仿宋_GB2312" w:cs="仿宋_GB2312"/>
          <w:snapToGrid w:val="0"/>
          <w:color w:val="auto"/>
          <w:kern w:val="0"/>
          <w:sz w:val="32"/>
          <w:szCs w:val="22"/>
          <w:highlight w:val="none"/>
          <w:lang w:val="en-US" w:eastAsia="zh-CN"/>
        </w:rPr>
        <w:t>盘州市保田镇上保田村，红果街道下沙居委会、舍勒居委会</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个镇（街道）3个村（居）</w:t>
      </w:r>
      <w:r>
        <w:rPr>
          <w:rFonts w:hint="eastAsia" w:ascii="仿宋_GB2312" w:hAnsi="仿宋_GB2312" w:eastAsia="仿宋_GB2312" w:cs="仿宋_GB2312"/>
          <w:sz w:val="32"/>
          <w:szCs w:val="32"/>
          <w:highlight w:val="none"/>
        </w:rPr>
        <w:t>，共</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宗地，土地产权明晰，界址清楚，没有争议。</w:t>
      </w:r>
    </w:p>
    <w:p w14:paraId="2C7439EC">
      <w:pPr>
        <w:spacing w:line="578" w:lineRule="exact"/>
        <w:ind w:firstLine="640" w:firstLineChars="200"/>
        <w:rPr>
          <w:rFonts w:hint="eastAsia" w:ascii="仿宋_GB2312" w:hAnsi="仿宋_GB2312" w:eastAsia="仿宋_GB2312" w:cs="仿宋_GB2312"/>
          <w:kern w:val="0"/>
          <w:sz w:val="32"/>
          <w:szCs w:val="32"/>
          <w:highlight w:val="none"/>
          <w:u w:val="single"/>
        </w:rPr>
      </w:pPr>
      <w:r>
        <w:rPr>
          <w:rFonts w:hint="eastAsia" w:ascii="仿宋_GB2312" w:hAnsi="仿宋_GB2312" w:eastAsia="仿宋_GB2312" w:cs="仿宋_GB2312"/>
          <w:color w:val="auto"/>
          <w:kern w:val="0"/>
          <w:sz w:val="32"/>
          <w:szCs w:val="32"/>
          <w:highlight w:val="none"/>
        </w:rPr>
        <w:t>该批次用地</w:t>
      </w:r>
      <w:r>
        <w:rPr>
          <w:rFonts w:hint="eastAsia" w:ascii="仿宋_GB2312" w:hAnsi="仿宋_GB2312" w:eastAsia="仿宋_GB2312" w:cs="仿宋_GB2312"/>
          <w:kern w:val="0"/>
          <w:sz w:val="32"/>
          <w:szCs w:val="32"/>
          <w:highlight w:val="none"/>
        </w:rPr>
        <w:t>不位于各级自然保护区、不位于生态保护红线范围内；该批次用地全部位于城镇开发边界，已与规划用地布局做好衔接，申报的</w:t>
      </w:r>
      <w:r>
        <w:rPr>
          <w:rFonts w:hint="eastAsia" w:ascii="仿宋_GB2312" w:hAnsi="仿宋_GB2312" w:eastAsia="仿宋_GB2312" w:cs="仿宋_GB2312"/>
          <w:sz w:val="32"/>
          <w:szCs w:val="32"/>
          <w:highlight w:val="none"/>
          <w:lang w:val="en-US" w:eastAsia="zh-CN"/>
        </w:rPr>
        <w:t>交通运输用地</w:t>
      </w:r>
      <w:r>
        <w:rPr>
          <w:rFonts w:hint="eastAsia" w:ascii="仿宋_GB2312" w:hAnsi="仿宋_GB2312" w:eastAsia="仿宋_GB2312" w:cs="仿宋_GB2312"/>
          <w:kern w:val="0"/>
          <w:sz w:val="32"/>
          <w:szCs w:val="32"/>
          <w:highlight w:val="none"/>
        </w:rPr>
        <w:t>用途符合规划用途，项目建设不影响国土空间规划实施。</w:t>
      </w:r>
      <w:r>
        <w:rPr>
          <w:rFonts w:hint="eastAsia" w:ascii="仿宋_GB2312" w:hAnsi="仿宋_GB2312" w:eastAsia="仿宋_GB2312" w:cs="仿宋_GB2312"/>
          <w:kern w:val="0"/>
          <w:sz w:val="32"/>
          <w:szCs w:val="32"/>
          <w:highlight w:val="none"/>
          <w:u w:val="none"/>
        </w:rPr>
        <w:t>该批次用地不涉及世界自然遗产地、饮用水水源地、历史文化名镇名村核心保护范围、文物保护单位保护范围和建设控制地带。</w:t>
      </w:r>
    </w:p>
    <w:p w14:paraId="01DECB62">
      <w:pPr>
        <w:spacing w:line="578"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二、征收土地符合公共利益情况</w:t>
      </w:r>
    </w:p>
    <w:p w14:paraId="5B2D2E5D">
      <w:pPr>
        <w:spacing w:line="578" w:lineRule="exact"/>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盘州市认为该批次用地符合《中华人民共和国土地管理法》第四十五条规定的公共利益情形。该批次用地符合《盘州市国民经济和社会发展第十四个五年规划和二O三五年远景目标纲要》</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均位于城镇建设用地范围，符合贵州省国土空间规划委员会办公室正组织开展联合审查的《盘州市国土空间总体规划（2021</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2035年）》，有关部门和单位对项目用地无颠覆性意见，省级人民政府已出具国土空间规划符合性评估意见。申报的</w:t>
      </w:r>
      <w:r>
        <w:rPr>
          <w:rFonts w:hint="eastAsia" w:ascii="仿宋_GB2312" w:hAnsi="仿宋_GB2312" w:eastAsia="仿宋_GB2312" w:cs="仿宋_GB2312"/>
          <w:kern w:val="0"/>
          <w:sz w:val="32"/>
          <w:szCs w:val="32"/>
          <w:highlight w:val="none"/>
          <w:lang w:val="en-US" w:eastAsia="zh-CN"/>
        </w:rPr>
        <w:t>交通运输用地</w:t>
      </w:r>
      <w:r>
        <w:rPr>
          <w:rFonts w:hint="eastAsia" w:ascii="仿宋_GB2312" w:hAnsi="仿宋_GB2312" w:eastAsia="仿宋_GB2312" w:cs="仿宋_GB2312"/>
          <w:kern w:val="0"/>
          <w:sz w:val="32"/>
          <w:szCs w:val="32"/>
          <w:highlight w:val="none"/>
        </w:rPr>
        <w:t>用途符合规划用途，盘州市人民政府确保将该批次用地布局和规模统筹纳入依法批准的规划期至2035年的盘州市国土空间总体规划及“一张图”。</w:t>
      </w:r>
    </w:p>
    <w:p w14:paraId="59A57CD4">
      <w:pPr>
        <w:spacing w:line="57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kern w:val="0"/>
          <w:sz w:val="32"/>
          <w:szCs w:val="32"/>
          <w:highlight w:val="none"/>
        </w:rPr>
        <w:t>该批次</w:t>
      </w:r>
      <w:r>
        <w:rPr>
          <w:rFonts w:hint="eastAsia" w:ascii="仿宋_GB2312" w:hAnsi="仿宋_GB2312" w:eastAsia="仿宋_GB2312" w:cs="仿宋_GB2312"/>
          <w:kern w:val="0"/>
          <w:sz w:val="32"/>
          <w:szCs w:val="32"/>
          <w:highlight w:val="none"/>
          <w:lang w:val="en-US" w:eastAsia="zh-CN"/>
        </w:rPr>
        <w:t>交通运输用地</w:t>
      </w:r>
      <w:r>
        <w:rPr>
          <w:rFonts w:hint="eastAsia" w:ascii="仿宋_GB2312" w:hAnsi="仿宋_GB2312" w:eastAsia="仿宋_GB2312" w:cs="仿宋_GB2312"/>
          <w:kern w:val="0"/>
          <w:sz w:val="32"/>
          <w:szCs w:val="32"/>
          <w:highlight w:val="none"/>
        </w:rPr>
        <w:t>符合</w:t>
      </w:r>
      <w:r>
        <w:rPr>
          <w:rFonts w:hint="eastAsia" w:ascii="仿宋_GB2312" w:hAnsi="仿宋_GB2312" w:eastAsia="仿宋_GB2312" w:cs="仿宋_GB2312"/>
          <w:kern w:val="0"/>
          <w:sz w:val="32"/>
          <w:szCs w:val="32"/>
          <w:highlight w:val="none"/>
          <w:lang w:val="en-US" w:eastAsia="zh-CN"/>
        </w:rPr>
        <w:t>《中华人民共和国土地管理法》</w:t>
      </w:r>
      <w:r>
        <w:rPr>
          <w:rFonts w:hint="eastAsia" w:ascii="仿宋_GB2312" w:hAnsi="仿宋_GB2312" w:eastAsia="仿宋_GB2312" w:cs="仿宋_GB2312"/>
          <w:kern w:val="0"/>
          <w:sz w:val="32"/>
          <w:szCs w:val="32"/>
          <w:highlight w:val="none"/>
        </w:rPr>
        <w:t>第四十五条</w:t>
      </w:r>
      <w:r>
        <w:rPr>
          <w:rFonts w:hint="default" w:ascii="Times New Roman" w:hAnsi="Times New Roman" w:eastAsia="仿宋_GB2312" w:cs="Times New Roman"/>
          <w:b w:val="0"/>
          <w:bCs w:val="0"/>
          <w:i w:val="0"/>
          <w:caps w:val="0"/>
          <w:color w:val="000000"/>
          <w:spacing w:val="0"/>
          <w:sz w:val="32"/>
          <w:szCs w:val="32"/>
          <w:highlight w:val="none"/>
          <w:shd w:val="clear" w:color="auto" w:fill="FFFFFF"/>
          <w:lang w:val="en-US" w:eastAsia="zh-CN"/>
        </w:rPr>
        <w:t>第</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二</w:t>
      </w:r>
      <w:r>
        <w:rPr>
          <w:rFonts w:hint="eastAsia" w:ascii="仿宋_GB2312" w:hAnsi="仿宋_GB2312" w:eastAsia="仿宋_GB2312" w:cs="仿宋_GB2312"/>
          <w:kern w:val="0"/>
          <w:sz w:val="32"/>
          <w:szCs w:val="32"/>
          <w:highlight w:val="none"/>
        </w:rPr>
        <w:t>）项规定，属于</w:t>
      </w:r>
      <w:r>
        <w:rPr>
          <w:rFonts w:hint="eastAsia" w:ascii="仿宋_GB2312" w:hAnsi="仿宋_GB2312" w:eastAsia="仿宋_GB2312" w:cs="仿宋_GB2312"/>
          <w:kern w:val="0"/>
          <w:sz w:val="32"/>
          <w:szCs w:val="32"/>
          <w:highlight w:val="none"/>
          <w:lang w:val="en-US" w:eastAsia="zh-CN"/>
        </w:rPr>
        <w:t>交通</w:t>
      </w:r>
      <w:r>
        <w:rPr>
          <w:rFonts w:hint="eastAsia" w:ascii="仿宋_GB2312" w:hAnsi="仿宋_GB2312" w:eastAsia="仿宋_GB2312" w:cs="仿宋_GB2312"/>
          <w:kern w:val="0"/>
          <w:sz w:val="32"/>
          <w:szCs w:val="32"/>
          <w:highlight w:val="none"/>
        </w:rPr>
        <w:t>类建设活动，</w:t>
      </w:r>
      <w:r>
        <w:rPr>
          <w:rFonts w:hint="eastAsia" w:ascii="仿宋_GB2312" w:hAnsi="仿宋_GB2312" w:eastAsia="仿宋_GB2312" w:cs="仿宋_GB2312"/>
          <w:kern w:val="0"/>
          <w:sz w:val="32"/>
          <w:szCs w:val="32"/>
          <w:highlight w:val="none"/>
          <w:lang w:val="en-US" w:eastAsia="zh-CN"/>
        </w:rPr>
        <w:t>因提高交通通达能力和通畅水平的需要</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color w:val="auto"/>
          <w:sz w:val="32"/>
          <w:szCs w:val="32"/>
          <w:highlight w:val="none"/>
        </w:rPr>
        <w:t>确需征收农民集体所有土地</w:t>
      </w:r>
      <w:r>
        <w:rPr>
          <w:rFonts w:hint="eastAsia" w:ascii="仿宋_GB2312" w:hAnsi="仿宋_GB2312" w:eastAsia="仿宋_GB2312" w:cs="仿宋_GB2312"/>
          <w:color w:val="auto"/>
          <w:kern w:val="0"/>
          <w:sz w:val="32"/>
          <w:szCs w:val="32"/>
          <w:highlight w:val="none"/>
        </w:rPr>
        <w:t>。</w:t>
      </w:r>
    </w:p>
    <w:p w14:paraId="07805F8C">
      <w:pPr>
        <w:spacing w:line="578" w:lineRule="exact"/>
        <w:ind w:firstLine="640" w:firstLineChars="200"/>
        <w:rPr>
          <w:rFonts w:ascii="Times New Roman" w:hAnsi="Times New Roman" w:eastAsia="仿宋_GB2312" w:cs="仿宋_GB2312"/>
          <w:color w:val="auto"/>
          <w:sz w:val="32"/>
          <w:szCs w:val="32"/>
          <w:highlight w:val="none"/>
        </w:rPr>
      </w:pPr>
      <w:r>
        <w:rPr>
          <w:rFonts w:hint="eastAsia" w:ascii="黑体" w:hAnsi="黑体" w:eastAsia="黑体" w:cs="黑体"/>
          <w:color w:val="auto"/>
          <w:sz w:val="32"/>
          <w:szCs w:val="32"/>
          <w:highlight w:val="none"/>
        </w:rPr>
        <w:t>三、征地前期工作完成情况</w:t>
      </w:r>
      <w:r>
        <w:rPr>
          <w:rFonts w:hint="eastAsia" w:ascii="Times New Roman" w:hAnsi="Times New Roman" w:eastAsia="仿宋_GB2312" w:cs="仿宋_GB2312"/>
          <w:color w:val="auto"/>
          <w:sz w:val="32"/>
          <w:szCs w:val="32"/>
          <w:highlight w:val="none"/>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635</wp:posOffset>
                </wp:positionV>
                <wp:extent cx="3766820" cy="1270"/>
                <wp:effectExtent l="0" t="0" r="0" b="0"/>
                <wp:wrapNone/>
                <wp:docPr id="7" name="组合 7"/>
                <wp:cNvGraphicFramePr/>
                <a:graphic xmlns:a="http://schemas.openxmlformats.org/drawingml/2006/main">
                  <a:graphicData uri="http://schemas.microsoft.com/office/word/2010/wordprocessingGroup">
                    <wpg:wgp>
                      <wpg:cNvGrpSpPr/>
                      <wpg:grpSpPr>
                        <a:xfrm>
                          <a:off x="0" y="0"/>
                          <a:ext cx="3766820" cy="1270"/>
                          <a:chOff x="0" y="2"/>
                          <a:chExt cx="5933" cy="2"/>
                        </a:xfrm>
                      </wpg:grpSpPr>
                      <wps:wsp>
                        <wps:cNvPr id="12" name="任意多边形 2"/>
                        <wps:cNvSpPr/>
                        <wps:spPr>
                          <a:xfrm>
                            <a:off x="0" y="2"/>
                            <a:ext cx="5933" cy="2"/>
                          </a:xfrm>
                          <a:custGeom>
                            <a:avLst/>
                            <a:gdLst/>
                            <a:ahLst/>
                            <a:cxnLst/>
                            <a:rect l="0" t="0" r="0" b="0"/>
                            <a:pathLst>
                              <a:path w="5933">
                                <a:moveTo>
                                  <a:pt x="0" y="0"/>
                                </a:moveTo>
                                <a:lnTo>
                                  <a:pt x="5933" y="0"/>
                                </a:lnTo>
                              </a:path>
                            </a:pathLst>
                          </a:custGeom>
                          <a:noFill/>
                          <a:ln w="2286" cap="flat" cmpd="sng">
                            <a:solidFill>
                              <a:srgbClr val="34443F"/>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0.05pt;height:0.1pt;width:296.6pt;mso-position-horizontal-relative:page;mso-position-vertical-relative:page;z-index:-251656192;mso-width-relative:page;mso-height-relative:page;" coordorigin="0,2" coordsize="5933,2" o:gfxdata="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AB9/dtMA&#10;AAACAQAADwAAAAAAAAABACAAAAAiAAAAZHJzL2Rvd25yZXYueG1sUEsBAhQAFAAAAAgAh07iQDqi&#10;zMGWAgAAxgUAAA4AAAAAAAAAAQAgAAAAIgEAAGRycy9lMm9Eb2MueG1sUEsFBgAAAAAGAAYAWQEA&#10;ACoGAAAAAA==&#10;">
                <o:lock v:ext="edit" aspectratio="f"/>
                <v:shape id="任意多边形 2" o:spid="_x0000_s1026" o:spt="100" style="position:absolute;left:0;top:2;height:2;width:5933;" filled="f" stroked="t" coordsize="5933,1" o:gfxdata="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DU8LsAAADb&#10;AAAADwAAAAAAAAABACAAAAAiAAAAZHJzL2Rvd25yZXYueG1sUEsBAhQAFAAAAAgAh07iQDMvBZ47&#10;AAAAOQAAABAAAAAAAAAAAQAgAAAACgEAAGRycy9zaGFwZXhtbC54bWxQSwUGAAAAAAYABgBbAQAA&#10;tAMAAAAA&#10;" path="m0,0l5933,0e">
                  <v:fill on="f" focussize="0,0"/>
                  <v:stroke weight="0.18pt" color="#34443F" joinstyle="round"/>
                  <v:imagedata o:title=""/>
                  <o:lock v:ext="edit" aspectratio="f"/>
                </v:shape>
              </v:group>
            </w:pict>
          </mc:Fallback>
        </mc:AlternateContent>
      </w:r>
    </w:p>
    <w:p w14:paraId="62DE21F9">
      <w:pPr>
        <w:spacing w:line="578"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盘州市已按规定对拟征收土地依法履行了征收土地前期程序。</w:t>
      </w:r>
    </w:p>
    <w:p w14:paraId="034ED3A8">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Times New Roman" w:hAnsi="Times New Roman" w:eastAsia="仿宋_GB2312" w:cs="仿宋_GB2312"/>
          <w:color w:val="000000" w:themeColor="text1"/>
          <w:kern w:val="0"/>
          <w:sz w:val="32"/>
          <w:szCs w:val="32"/>
          <w14:textFill>
            <w14:solidFill>
              <w14:schemeClr w14:val="tx1"/>
            </w14:solidFill>
          </w14:textFill>
        </w:rPr>
      </w:pPr>
      <w:r>
        <w:rPr>
          <w:rFonts w:hint="eastAsia" w:ascii="楷体" w:hAnsi="楷体" w:eastAsia="楷体" w:cs="楷体"/>
          <w:bCs/>
          <w:color w:val="auto"/>
          <w:sz w:val="32"/>
          <w:szCs w:val="32"/>
          <w:highlight w:val="none"/>
        </w:rPr>
        <w:t>（一）征收土地预公告。</w:t>
      </w:r>
      <w:r>
        <w:rPr>
          <w:rFonts w:hint="eastAsia" w:ascii="仿宋_GB2312" w:hAnsi="仿宋_GB2312" w:eastAsia="仿宋_GB2312" w:cs="仿宋_GB2312"/>
          <w:color w:val="auto"/>
          <w:kern w:val="0"/>
          <w:sz w:val="32"/>
          <w:szCs w:val="32"/>
          <w:highlight w:val="none"/>
        </w:rPr>
        <w:t>盘州市已按规定于202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年1</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auto"/>
          <w:kern w:val="0"/>
          <w:sz w:val="32"/>
          <w:szCs w:val="32"/>
          <w:highlight w:val="none"/>
          <w:lang w:val="en-US" w:eastAsia="zh-CN"/>
        </w:rPr>
        <w:t>至</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年1</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2"/>
          <w:sz w:val="32"/>
          <w:szCs w:val="32"/>
          <w:highlight w:val="none"/>
        </w:rPr>
        <w:t>月</w:t>
      </w:r>
      <w:r>
        <w:rPr>
          <w:rFonts w:hint="eastAsia" w:ascii="仿宋_GB2312" w:hAnsi="仿宋_GB2312" w:eastAsia="仿宋_GB2312" w:cs="仿宋_GB2312"/>
          <w:color w:val="auto"/>
          <w:kern w:val="0"/>
          <w:sz w:val="32"/>
          <w:szCs w:val="32"/>
          <w:highlight w:val="none"/>
          <w:u w:val="none"/>
          <w:lang w:val="en-US" w:eastAsia="zh-CN"/>
        </w:rPr>
        <w:t>23</w:t>
      </w:r>
      <w:r>
        <w:rPr>
          <w:rFonts w:hint="eastAsia" w:ascii="仿宋_GB2312" w:hAnsi="仿宋_GB2312" w:eastAsia="仿宋_GB2312" w:cs="仿宋_GB2312"/>
          <w:color w:val="auto"/>
          <w:kern w:val="2"/>
          <w:sz w:val="32"/>
          <w:szCs w:val="32"/>
          <w:highlight w:val="none"/>
          <w:u w:val="none"/>
        </w:rPr>
        <w:t>日（共计</w:t>
      </w:r>
      <w:r>
        <w:rPr>
          <w:rFonts w:hint="eastAsia" w:ascii="仿宋_GB2312" w:hAnsi="仿宋_GB2312" w:eastAsia="仿宋_GB2312" w:cs="仿宋_GB2312"/>
          <w:color w:val="auto"/>
          <w:kern w:val="2"/>
          <w:sz w:val="32"/>
          <w:szCs w:val="32"/>
          <w:highlight w:val="none"/>
          <w:u w:val="none"/>
          <w:lang w:val="en-US" w:eastAsia="zh-CN"/>
        </w:rPr>
        <w:t>11</w:t>
      </w:r>
      <w:r>
        <w:rPr>
          <w:rFonts w:hint="eastAsia" w:ascii="仿宋_GB2312" w:hAnsi="仿宋_GB2312" w:eastAsia="仿宋_GB2312" w:cs="仿宋_GB2312"/>
          <w:color w:val="auto"/>
          <w:kern w:val="2"/>
          <w:sz w:val="32"/>
          <w:szCs w:val="32"/>
          <w:highlight w:val="none"/>
        </w:rPr>
        <w:t>个工作日）</w:t>
      </w:r>
      <w:r>
        <w:rPr>
          <w:rFonts w:hint="eastAsia" w:ascii="仿宋_GB2312" w:hAnsi="仿宋_GB2312" w:eastAsia="仿宋_GB2312" w:cs="仿宋_GB2312"/>
          <w:color w:val="FF0000"/>
          <w:kern w:val="2"/>
          <w:sz w:val="32"/>
          <w:szCs w:val="32"/>
          <w:highlight w:val="none"/>
        </w:rPr>
        <w:t>在拟</w:t>
      </w:r>
      <w:r>
        <w:rPr>
          <w:rFonts w:hint="eastAsia" w:ascii="仿宋_GB2312" w:hAnsi="仿宋_GB2312" w:eastAsia="仿宋_GB2312" w:cs="仿宋_GB2312"/>
          <w:color w:val="FF0000"/>
          <w:kern w:val="0"/>
          <w:sz w:val="32"/>
          <w:szCs w:val="32"/>
          <w:highlight w:val="none"/>
        </w:rPr>
        <w:t>征收土地所在地的</w:t>
      </w:r>
      <w:r>
        <w:rPr>
          <w:rFonts w:hint="eastAsia" w:ascii="仿宋_GB2312" w:hAnsi="仿宋_GB2312" w:eastAsia="仿宋_GB2312" w:cs="仿宋_GB2312"/>
          <w:color w:val="FF0000"/>
          <w:kern w:val="0"/>
          <w:sz w:val="32"/>
          <w:szCs w:val="32"/>
          <w:highlight w:val="none"/>
          <w:lang w:val="en-US" w:eastAsia="zh-CN"/>
        </w:rPr>
        <w:t>镇（</w:t>
      </w:r>
      <w:r>
        <w:rPr>
          <w:rFonts w:hint="eastAsia" w:ascii="仿宋_GB2312" w:hAnsi="仿宋_GB2312" w:eastAsia="仿宋_GB2312" w:cs="仿宋_GB2312"/>
          <w:color w:val="FF0000"/>
          <w:kern w:val="0"/>
          <w:sz w:val="32"/>
          <w:szCs w:val="32"/>
          <w:highlight w:val="none"/>
        </w:rPr>
        <w:t>街道</w:t>
      </w:r>
      <w:r>
        <w:rPr>
          <w:rFonts w:hint="eastAsia" w:ascii="仿宋_GB2312" w:hAnsi="仿宋_GB2312" w:eastAsia="仿宋_GB2312" w:cs="仿宋_GB2312"/>
          <w:color w:val="FF0000"/>
          <w:kern w:val="0"/>
          <w:sz w:val="32"/>
          <w:szCs w:val="32"/>
          <w:highlight w:val="none"/>
          <w:lang w:val="en-US" w:eastAsia="zh-CN"/>
        </w:rPr>
        <w:t>）</w:t>
      </w:r>
      <w:r>
        <w:rPr>
          <w:rFonts w:hint="eastAsia" w:ascii="仿宋_GB2312" w:hAnsi="仿宋_GB2312" w:eastAsia="仿宋_GB2312" w:cs="仿宋_GB2312"/>
          <w:color w:val="FF0000"/>
          <w:kern w:val="0"/>
          <w:sz w:val="32"/>
          <w:szCs w:val="32"/>
          <w:highlight w:val="none"/>
        </w:rPr>
        <w:t>和</w:t>
      </w:r>
      <w:r>
        <w:rPr>
          <w:rFonts w:hint="eastAsia" w:ascii="仿宋_GB2312" w:hAnsi="仿宋_GB2312" w:eastAsia="仿宋_GB2312" w:cs="仿宋_GB2312"/>
          <w:color w:val="FF0000"/>
          <w:kern w:val="0"/>
          <w:sz w:val="32"/>
          <w:szCs w:val="32"/>
          <w:highlight w:val="none"/>
          <w:lang w:val="en-US" w:eastAsia="zh-CN"/>
        </w:rPr>
        <w:t>村（居）</w:t>
      </w:r>
      <w:r>
        <w:rPr>
          <w:rFonts w:hint="eastAsia" w:ascii="仿宋_GB2312" w:hAnsi="仿宋_GB2312" w:eastAsia="仿宋_GB2312" w:cs="仿宋_GB2312"/>
          <w:color w:val="FF0000"/>
          <w:kern w:val="0"/>
          <w:sz w:val="32"/>
          <w:szCs w:val="32"/>
          <w:highlight w:val="none"/>
        </w:rPr>
        <w:t>、</w:t>
      </w:r>
      <w:r>
        <w:rPr>
          <w:rFonts w:hint="eastAsia" w:ascii="Times New Roman" w:hAnsi="Times New Roman" w:eastAsia="仿宋_GB2312" w:cs="仿宋_GB2312"/>
          <w:b w:val="0"/>
          <w:bCs w:val="0"/>
          <w:color w:val="FF0000"/>
          <w:sz w:val="32"/>
          <w:szCs w:val="32"/>
        </w:rPr>
        <w:t>村民小组</w:t>
      </w:r>
      <w:r>
        <w:rPr>
          <w:rFonts w:hint="eastAsia" w:ascii="Times New Roman" w:hAnsi="Times New Roman" w:eastAsia="仿宋_GB2312" w:cs="仿宋_GB2312"/>
          <w:b w:val="0"/>
          <w:bCs w:val="0"/>
          <w:color w:val="FF0000"/>
          <w:sz w:val="32"/>
          <w:szCs w:val="32"/>
          <w:lang w:val="en-US" w:eastAsia="zh-CN"/>
        </w:rPr>
        <w:t>通过</w:t>
      </w:r>
      <w:r>
        <w:rPr>
          <w:rFonts w:hint="eastAsia" w:ascii="Times New Roman" w:hAnsi="Times New Roman" w:eastAsia="仿宋_GB2312" w:cs="仿宋_GB2312"/>
          <w:b w:val="0"/>
          <w:bCs w:val="0"/>
          <w:color w:val="FF0000"/>
          <w:sz w:val="32"/>
          <w:szCs w:val="32"/>
        </w:rPr>
        <w:t>村公示栏发布了拟征收土地预公告。</w:t>
      </w:r>
      <w:r>
        <w:rPr>
          <w:rFonts w:hint="eastAsia" w:ascii="Times New Roman" w:hAnsi="Times New Roman" w:eastAsia="仿宋_GB2312" w:cs="仿宋_GB2312"/>
          <w:b w:val="0"/>
          <w:bCs w:val="0"/>
          <w:color w:val="000000" w:themeColor="text1"/>
          <w:sz w:val="32"/>
          <w:szCs w:val="32"/>
          <w14:textFill>
            <w14:solidFill>
              <w14:schemeClr w14:val="tx1"/>
            </w14:solidFill>
          </w14:textFill>
        </w:rPr>
        <w:t>公告包括征收土地范围、征收目的、开展土地现状调查的安排等内容</w:t>
      </w:r>
      <w:r>
        <w:rPr>
          <w:rFonts w:hint="eastAsia" w:ascii="Times New Roman" w:hAnsi="Times New Roman" w:eastAsia="仿宋_GB2312" w:cs="仿宋_GB2312"/>
          <w:color w:val="000000" w:themeColor="text1"/>
          <w:kern w:val="0"/>
          <w:sz w:val="32"/>
          <w:szCs w:val="32"/>
          <w14:textFill>
            <w14:solidFill>
              <w14:schemeClr w14:val="tx1"/>
            </w14:solidFill>
          </w14:textFill>
        </w:rPr>
        <w:t>。</w:t>
      </w:r>
    </w:p>
    <w:p w14:paraId="2F7CFBD0">
      <w:pPr>
        <w:spacing w:line="578" w:lineRule="exact"/>
        <w:ind w:firstLine="640" w:firstLineChars="200"/>
        <w:rPr>
          <w:rFonts w:ascii="Times New Roman" w:hAnsi="Times New Roman" w:eastAsia="仿宋_GB2312" w:cs="仿宋_GB2312"/>
          <w:color w:val="auto"/>
          <w:kern w:val="0"/>
          <w:sz w:val="32"/>
          <w:szCs w:val="32"/>
          <w:highlight w:val="none"/>
        </w:rPr>
      </w:pPr>
      <w:r>
        <w:rPr>
          <w:rFonts w:hint="eastAsia" w:ascii="楷体" w:hAnsi="楷体" w:eastAsia="楷体" w:cs="楷体"/>
          <w:bCs/>
          <w:color w:val="auto"/>
          <w:sz w:val="32"/>
          <w:szCs w:val="32"/>
          <w:highlight w:val="none"/>
        </w:rPr>
        <w:t>（二）土地现状调查。</w:t>
      </w:r>
      <w:r>
        <w:rPr>
          <w:rFonts w:hint="eastAsia" w:ascii="Times New Roman" w:hAnsi="Times New Roman" w:eastAsia="仿宋_GB2312" w:cs="仿宋_GB2312"/>
          <w:color w:val="auto"/>
          <w:kern w:val="0"/>
          <w:sz w:val="32"/>
          <w:szCs w:val="32"/>
          <w:highlight w:val="none"/>
        </w:rPr>
        <w:t>盘州市按规定完成了土地现状调查，</w:t>
      </w:r>
      <w:r>
        <w:rPr>
          <w:rFonts w:hint="eastAsia" w:ascii="Times New Roman" w:hAnsi="Times New Roman" w:eastAsia="仿宋_GB2312" w:cs="仿宋_GB2312"/>
          <w:color w:val="auto"/>
          <w:sz w:val="32"/>
          <w:szCs w:val="32"/>
          <w:highlight w:val="none"/>
        </w:rPr>
        <w:t>已查明拟征收土地的位置、权属、地类、面积，以及农村村民住宅、</w:t>
      </w:r>
      <w:r>
        <w:rPr>
          <w:rFonts w:hint="eastAsia" w:ascii="Times New Roman" w:hAnsi="Times New Roman" w:eastAsia="仿宋_GB2312" w:cs="仿宋_GB2312"/>
          <w:color w:val="auto"/>
          <w:kern w:val="0"/>
          <w:sz w:val="32"/>
          <w:szCs w:val="32"/>
          <w:highlight w:val="none"/>
        </w:rPr>
        <w:t>其他</w:t>
      </w:r>
      <w:r>
        <w:rPr>
          <w:rFonts w:hint="eastAsia" w:ascii="Times New Roman" w:hAnsi="Times New Roman" w:eastAsia="仿宋_GB2312" w:cs="仿宋_GB2312"/>
          <w:color w:val="auto"/>
          <w:sz w:val="32"/>
          <w:szCs w:val="32"/>
          <w:highlight w:val="none"/>
        </w:rPr>
        <w:t>地上附着物和青苗等的权属、种类、数量等情况，填写了相关调查确认表，并由所有权人、使用权人签字确认。</w:t>
      </w:r>
    </w:p>
    <w:p w14:paraId="68D528B6">
      <w:pPr>
        <w:spacing w:line="578" w:lineRule="exact"/>
        <w:ind w:firstLine="640" w:firstLineChars="200"/>
        <w:rPr>
          <w:rFonts w:ascii="Times New Roman" w:hAnsi="Times New Roman" w:eastAsia="仿宋_GB2312" w:cs="仿宋_GB2312"/>
          <w:color w:val="auto"/>
          <w:kern w:val="0"/>
          <w:sz w:val="32"/>
          <w:szCs w:val="32"/>
          <w:highlight w:val="none"/>
        </w:rPr>
      </w:pPr>
      <w:r>
        <w:rPr>
          <w:rFonts w:hint="eastAsia" w:ascii="楷体" w:hAnsi="楷体" w:eastAsia="楷体" w:cs="楷体"/>
          <w:bCs/>
          <w:color w:val="auto"/>
          <w:sz w:val="32"/>
          <w:szCs w:val="32"/>
          <w:highlight w:val="none"/>
        </w:rPr>
        <w:t>（三）社会稳定风险评估。</w:t>
      </w:r>
      <w:r>
        <w:rPr>
          <w:rFonts w:hint="eastAsia" w:ascii="仿宋_GB2312" w:hAnsi="仿宋_GB2312" w:eastAsia="仿宋_GB2312" w:cs="仿宋_GB2312"/>
          <w:color w:val="auto"/>
          <w:kern w:val="0"/>
          <w:sz w:val="32"/>
          <w:szCs w:val="32"/>
          <w:highlight w:val="none"/>
        </w:rPr>
        <w:t>盘州市按规定完成了社会稳定风险评估，</w:t>
      </w:r>
      <w:r>
        <w:rPr>
          <w:rFonts w:hint="eastAsia" w:ascii="仿宋_GB2312" w:hAnsi="仿宋_GB2312" w:eastAsia="仿宋_GB2312" w:cs="仿宋_GB2312"/>
          <w:color w:val="FF0000"/>
          <w:kern w:val="0"/>
          <w:sz w:val="32"/>
          <w:szCs w:val="32"/>
          <w:highlight w:val="none"/>
        </w:rPr>
        <w:t>盘州</w:t>
      </w:r>
      <w:r>
        <w:rPr>
          <w:rFonts w:hint="eastAsia" w:ascii="仿宋_GB2312" w:hAnsi="仿宋_GB2312" w:eastAsia="仿宋_GB2312" w:cs="仿宋_GB2312"/>
          <w:color w:val="FF0000"/>
          <w:kern w:val="0"/>
          <w:sz w:val="32"/>
          <w:szCs w:val="32"/>
          <w:highlight w:val="none"/>
          <w:lang w:val="en-US" w:eastAsia="zh-CN"/>
        </w:rPr>
        <w:t>市委</w:t>
      </w:r>
      <w:r>
        <w:rPr>
          <w:rFonts w:hint="eastAsia" w:ascii="仿宋_GB2312" w:hAnsi="仿宋_GB2312" w:eastAsia="仿宋_GB2312" w:cs="仿宋_GB2312"/>
          <w:color w:val="FF0000"/>
          <w:kern w:val="0"/>
          <w:sz w:val="32"/>
          <w:szCs w:val="32"/>
          <w:highlight w:val="none"/>
        </w:rPr>
        <w:t>政法委员会于202</w:t>
      </w:r>
      <w:r>
        <w:rPr>
          <w:rFonts w:hint="eastAsia" w:ascii="仿宋_GB2312" w:hAnsi="仿宋_GB2312" w:eastAsia="仿宋_GB2312" w:cs="仿宋_GB2312"/>
          <w:color w:val="FF0000"/>
          <w:kern w:val="0"/>
          <w:sz w:val="32"/>
          <w:szCs w:val="32"/>
          <w:highlight w:val="none"/>
          <w:lang w:val="en-US" w:eastAsia="zh-CN"/>
        </w:rPr>
        <w:t>4</w:t>
      </w:r>
      <w:r>
        <w:rPr>
          <w:rFonts w:hint="eastAsia" w:ascii="仿宋_GB2312" w:hAnsi="仿宋_GB2312" w:eastAsia="仿宋_GB2312" w:cs="仿宋_GB2312"/>
          <w:color w:val="FF0000"/>
          <w:kern w:val="0"/>
          <w:sz w:val="32"/>
          <w:szCs w:val="32"/>
          <w:highlight w:val="none"/>
        </w:rPr>
        <w:t>年1</w:t>
      </w:r>
      <w:r>
        <w:rPr>
          <w:rFonts w:hint="eastAsia" w:ascii="仿宋_GB2312" w:hAnsi="仿宋_GB2312" w:eastAsia="仿宋_GB2312" w:cs="仿宋_GB2312"/>
          <w:color w:val="FF0000"/>
          <w:kern w:val="0"/>
          <w:sz w:val="32"/>
          <w:szCs w:val="32"/>
          <w:highlight w:val="none"/>
          <w:lang w:val="en-US" w:eastAsia="zh-CN"/>
        </w:rPr>
        <w:t>0</w:t>
      </w:r>
      <w:r>
        <w:rPr>
          <w:rFonts w:hint="eastAsia" w:ascii="仿宋_GB2312" w:hAnsi="仿宋_GB2312" w:eastAsia="仿宋_GB2312" w:cs="仿宋_GB2312"/>
          <w:color w:val="FF0000"/>
          <w:kern w:val="0"/>
          <w:sz w:val="32"/>
          <w:szCs w:val="32"/>
          <w:highlight w:val="none"/>
        </w:rPr>
        <w:t>月</w:t>
      </w:r>
      <w:r>
        <w:rPr>
          <w:rFonts w:hint="eastAsia" w:ascii="仿宋_GB2312" w:hAnsi="仿宋_GB2312" w:eastAsia="仿宋_GB2312" w:cs="仿宋_GB2312"/>
          <w:color w:val="FF0000"/>
          <w:kern w:val="0"/>
          <w:sz w:val="32"/>
          <w:szCs w:val="32"/>
          <w:highlight w:val="none"/>
          <w:lang w:val="en-US" w:eastAsia="zh-CN"/>
        </w:rPr>
        <w:t>25</w:t>
      </w:r>
      <w:r>
        <w:rPr>
          <w:rFonts w:hint="eastAsia" w:ascii="仿宋_GB2312" w:hAnsi="仿宋_GB2312" w:eastAsia="仿宋_GB2312" w:cs="仿宋_GB2312"/>
          <w:color w:val="FF0000"/>
          <w:kern w:val="0"/>
          <w:sz w:val="32"/>
          <w:szCs w:val="32"/>
          <w:highlight w:val="none"/>
        </w:rPr>
        <w:t>日</w:t>
      </w:r>
      <w:r>
        <w:rPr>
          <w:rFonts w:hint="eastAsia" w:ascii="仿宋_GB2312" w:hAnsi="仿宋_GB2312" w:eastAsia="仿宋_GB2312" w:cs="仿宋_GB2312"/>
          <w:color w:val="FF0000"/>
          <w:kern w:val="0"/>
          <w:sz w:val="32"/>
          <w:szCs w:val="32"/>
          <w:highlight w:val="none"/>
          <w:lang w:val="en-US" w:eastAsia="zh-CN"/>
        </w:rPr>
        <w:t>通过了</w:t>
      </w:r>
      <w:r>
        <w:rPr>
          <w:rFonts w:hint="eastAsia" w:ascii="仿宋_GB2312" w:hAnsi="仿宋_GB2312" w:eastAsia="仿宋_GB2312" w:cs="仿宋_GB2312"/>
          <w:color w:val="FF0000"/>
          <w:kern w:val="0"/>
          <w:sz w:val="32"/>
          <w:szCs w:val="32"/>
          <w:highlight w:val="none"/>
        </w:rPr>
        <w:t>土地征收社会稳定风险评估报告并备案，</w:t>
      </w:r>
      <w:r>
        <w:rPr>
          <w:rFonts w:hint="eastAsia" w:ascii="仿宋_GB2312" w:hAnsi="仿宋_GB2312" w:eastAsia="仿宋_GB2312" w:cs="仿宋_GB2312"/>
          <w:color w:val="auto"/>
          <w:kern w:val="0"/>
          <w:sz w:val="32"/>
          <w:szCs w:val="32"/>
          <w:highlight w:val="none"/>
        </w:rPr>
        <w:t>经评估风险等级为低风险，确定了</w:t>
      </w:r>
      <w:r>
        <w:rPr>
          <w:rFonts w:hint="eastAsia" w:ascii="仿宋_GB2312" w:hAnsi="仿宋_GB2312" w:eastAsia="仿宋_GB2312" w:cs="仿宋_GB2312"/>
          <w:color w:val="auto"/>
          <w:kern w:val="0"/>
          <w:sz w:val="32"/>
          <w:szCs w:val="32"/>
          <w:highlight w:val="none"/>
          <w:lang w:val="en-US" w:eastAsia="zh-CN"/>
        </w:rPr>
        <w:t>六</w:t>
      </w:r>
      <w:r>
        <w:rPr>
          <w:rFonts w:hint="eastAsia" w:ascii="仿宋_GB2312" w:hAnsi="仿宋_GB2312" w:eastAsia="仿宋_GB2312" w:cs="仿宋_GB2312"/>
          <w:color w:val="auto"/>
          <w:kern w:val="0"/>
          <w:sz w:val="32"/>
          <w:szCs w:val="32"/>
          <w:highlight w:val="none"/>
        </w:rPr>
        <w:t>个风险点，分别为</w:t>
      </w:r>
      <w:r>
        <w:rPr>
          <w:rFonts w:hint="eastAsia" w:ascii="仿宋_GB2312" w:hAnsi="仿宋_GB2312" w:eastAsia="仿宋_GB2312" w:cs="仿宋_GB2312"/>
          <w:color w:val="auto"/>
          <w:kern w:val="0"/>
          <w:sz w:val="32"/>
          <w:szCs w:val="32"/>
          <w:highlight w:val="none"/>
          <w:lang w:val="en-US" w:eastAsia="zh-CN"/>
        </w:rPr>
        <w:t>决策事项合法性及合理性遭质疑的风险、决策事项可能引发群众抵制征收的风险、土地征收补偿不合理引发群众抵制征收的风险、决策事项可能衍生环境破坏的风险、项目实施范围内山林土地权属纠纷的风险、征地拆迁资金管理不当产生的风险。拟采取妥善处理相关群众的合理诉求，根据风险实际变化情况，及时做好风险研判及评估，适时调整风险防范化解措施和应急预案，以保障风险有效预防和化解。</w:t>
      </w:r>
    </w:p>
    <w:p w14:paraId="5487B944">
      <w:pPr>
        <w:spacing w:line="57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楷体" w:hAnsi="楷体" w:eastAsia="楷体" w:cs="楷体"/>
          <w:bCs/>
          <w:color w:val="auto"/>
          <w:sz w:val="32"/>
          <w:szCs w:val="32"/>
          <w:highlight w:val="none"/>
        </w:rPr>
        <w:t>（四）征地补偿安置公告及听证。</w:t>
      </w:r>
      <w:r>
        <w:rPr>
          <w:rFonts w:hint="eastAsia" w:ascii="仿宋_GB2312" w:hAnsi="仿宋_GB2312" w:eastAsia="仿宋_GB2312" w:cs="仿宋_GB2312"/>
          <w:color w:val="auto"/>
          <w:kern w:val="0"/>
          <w:sz w:val="32"/>
          <w:szCs w:val="32"/>
          <w:highlight w:val="none"/>
        </w:rPr>
        <w:t>盘州市组织自然资源、财政、农业农村、人力资源社会保障等部门拟定了征地补偿安置方案，并于202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年1</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28</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auto"/>
          <w:kern w:val="0"/>
          <w:sz w:val="32"/>
          <w:szCs w:val="32"/>
          <w:highlight w:val="none"/>
          <w:lang w:val="en-US" w:eastAsia="zh-CN"/>
        </w:rPr>
        <w:t>至</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11</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29</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kern w:val="0"/>
          <w:sz w:val="32"/>
          <w:szCs w:val="32"/>
          <w:highlight w:val="none"/>
        </w:rPr>
        <w:t>（共计3</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FF0000"/>
          <w:kern w:val="0"/>
          <w:sz w:val="32"/>
          <w:szCs w:val="32"/>
          <w:highlight w:val="none"/>
        </w:rPr>
        <w:t>在拟征收土地所在地的</w:t>
      </w:r>
      <w:r>
        <w:rPr>
          <w:rFonts w:hint="eastAsia" w:ascii="仿宋_GB2312" w:hAnsi="仿宋_GB2312" w:eastAsia="仿宋_GB2312" w:cs="仿宋_GB2312"/>
          <w:color w:val="FF0000"/>
          <w:kern w:val="0"/>
          <w:sz w:val="32"/>
          <w:szCs w:val="32"/>
          <w:highlight w:val="none"/>
          <w:lang w:val="en-US" w:eastAsia="zh-CN"/>
        </w:rPr>
        <w:t>镇（</w:t>
      </w:r>
      <w:r>
        <w:rPr>
          <w:rFonts w:hint="eastAsia" w:ascii="仿宋_GB2312" w:hAnsi="仿宋_GB2312" w:eastAsia="仿宋_GB2312" w:cs="仿宋_GB2312"/>
          <w:color w:val="FF0000"/>
          <w:kern w:val="0"/>
          <w:sz w:val="32"/>
          <w:szCs w:val="32"/>
          <w:highlight w:val="none"/>
        </w:rPr>
        <w:t>街道</w:t>
      </w:r>
      <w:r>
        <w:rPr>
          <w:rFonts w:hint="eastAsia" w:ascii="仿宋_GB2312" w:hAnsi="仿宋_GB2312" w:eastAsia="仿宋_GB2312" w:cs="仿宋_GB2312"/>
          <w:color w:val="FF0000"/>
          <w:kern w:val="0"/>
          <w:sz w:val="32"/>
          <w:szCs w:val="32"/>
          <w:highlight w:val="none"/>
          <w:lang w:val="en-US" w:eastAsia="zh-CN"/>
        </w:rPr>
        <w:t>）</w:t>
      </w:r>
      <w:r>
        <w:rPr>
          <w:rFonts w:hint="eastAsia" w:ascii="仿宋_GB2312" w:hAnsi="仿宋_GB2312" w:eastAsia="仿宋_GB2312" w:cs="仿宋_GB2312"/>
          <w:color w:val="FF0000"/>
          <w:kern w:val="0"/>
          <w:sz w:val="32"/>
          <w:szCs w:val="32"/>
          <w:highlight w:val="none"/>
        </w:rPr>
        <w:t>和</w:t>
      </w:r>
      <w:r>
        <w:rPr>
          <w:rFonts w:hint="eastAsia" w:ascii="仿宋_GB2312" w:hAnsi="仿宋_GB2312" w:eastAsia="仿宋_GB2312" w:cs="仿宋_GB2312"/>
          <w:color w:val="FF0000"/>
          <w:kern w:val="0"/>
          <w:sz w:val="32"/>
          <w:szCs w:val="32"/>
          <w:highlight w:val="none"/>
          <w:lang w:val="en-US" w:eastAsia="zh-CN"/>
        </w:rPr>
        <w:t>村（居）</w:t>
      </w:r>
      <w:r>
        <w:rPr>
          <w:rFonts w:hint="eastAsia" w:ascii="仿宋_GB2312" w:hAnsi="仿宋_GB2312" w:eastAsia="仿宋_GB2312" w:cs="仿宋_GB2312"/>
          <w:color w:val="FF0000"/>
          <w:kern w:val="0"/>
          <w:sz w:val="32"/>
          <w:szCs w:val="32"/>
          <w:highlight w:val="none"/>
        </w:rPr>
        <w:t>、</w:t>
      </w:r>
      <w:r>
        <w:rPr>
          <w:rFonts w:hint="eastAsia" w:ascii="Times New Roman" w:hAnsi="Times New Roman" w:eastAsia="仿宋_GB2312" w:cs="仿宋_GB2312"/>
          <w:color w:val="FF0000"/>
          <w:kern w:val="0"/>
          <w:sz w:val="32"/>
          <w:szCs w:val="32"/>
          <w:shd w:val="clear" w:color="auto" w:fill="auto"/>
        </w:rPr>
        <w:t>村民小组</w:t>
      </w:r>
      <w:r>
        <w:rPr>
          <w:rFonts w:hint="eastAsia" w:ascii="Times New Roman" w:hAnsi="Times New Roman" w:eastAsia="仿宋_GB2312" w:cs="仿宋_GB2312"/>
          <w:b w:val="0"/>
          <w:bCs w:val="0"/>
          <w:color w:val="FF0000"/>
          <w:sz w:val="32"/>
          <w:szCs w:val="32"/>
          <w:lang w:val="en-US" w:eastAsia="zh-CN"/>
        </w:rPr>
        <w:t>通过</w:t>
      </w:r>
      <w:r>
        <w:rPr>
          <w:rFonts w:hint="eastAsia" w:ascii="Times New Roman" w:hAnsi="Times New Roman" w:eastAsia="仿宋_GB2312" w:cs="仿宋_GB2312"/>
          <w:color w:val="FF0000"/>
          <w:sz w:val="32"/>
          <w:szCs w:val="32"/>
          <w:shd w:val="clear" w:color="auto" w:fill="auto"/>
        </w:rPr>
        <w:t>村公示栏</w:t>
      </w:r>
      <w:r>
        <w:rPr>
          <w:rFonts w:hint="eastAsia" w:ascii="Times New Roman" w:hAnsi="Times New Roman" w:eastAsia="仿宋_GB2312" w:cs="仿宋_GB2312"/>
          <w:color w:val="FF0000"/>
          <w:sz w:val="32"/>
          <w:szCs w:val="32"/>
        </w:rPr>
        <w:t>发布了</w:t>
      </w:r>
      <w:r>
        <w:rPr>
          <w:rFonts w:hint="eastAsia" w:ascii="Times New Roman" w:hAnsi="Times New Roman" w:eastAsia="仿宋_GB2312" w:cs="仿宋_GB2312"/>
          <w:color w:val="FF0000"/>
          <w:kern w:val="0"/>
          <w:sz w:val="32"/>
          <w:szCs w:val="32"/>
        </w:rPr>
        <w:t>征地补偿安置公告。</w:t>
      </w:r>
      <w:r>
        <w:rPr>
          <w:rFonts w:hint="eastAsia" w:ascii="仿宋_GB2312" w:hAnsi="仿宋_GB2312" w:eastAsia="仿宋_GB2312" w:cs="仿宋_GB2312"/>
          <w:color w:val="auto"/>
          <w:kern w:val="0"/>
          <w:sz w:val="32"/>
          <w:szCs w:val="32"/>
          <w:highlight w:val="none"/>
        </w:rPr>
        <w:t>公告包括征收范围、土地现状、征收目的、补偿方式和标准、安置对象、安置方式、社会保障，以及办理补偿登记的方式和期限、异议反馈渠道等内容。拟征收土地涉及被征收所有权人和使用权人均对该征地补偿安置方案无异议，未申请召开听证会，并于202</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11</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27</w:t>
      </w:r>
      <w:r>
        <w:rPr>
          <w:rFonts w:hint="eastAsia" w:ascii="仿宋_GB2312" w:hAnsi="仿宋_GB2312" w:eastAsia="仿宋_GB2312" w:cs="仿宋_GB2312"/>
          <w:color w:val="auto"/>
          <w:kern w:val="0"/>
          <w:sz w:val="32"/>
          <w:szCs w:val="32"/>
          <w:highlight w:val="none"/>
        </w:rPr>
        <w:t>日出具了自愿放弃听证的说明。</w:t>
      </w:r>
    </w:p>
    <w:p w14:paraId="75DB35CC">
      <w:pPr>
        <w:suppressAutoHyphens/>
        <w:spacing w:line="578" w:lineRule="exact"/>
        <w:ind w:firstLine="640" w:firstLineChars="200"/>
        <w:rPr>
          <w:rFonts w:ascii="Times New Roman" w:hAnsi="Times New Roman"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该批次用地征地补偿安置协议等相关材料真实准确、合法合规。盘州市人民政府对该批次用地征地补偿安置协议等用地报件资料的真实性、合法性负责。</w:t>
      </w:r>
    </w:p>
    <w:p w14:paraId="75ABD9FA">
      <w:pPr>
        <w:spacing w:line="578" w:lineRule="exact"/>
        <w:ind w:firstLine="640" w:firstLineChars="200"/>
        <w:rPr>
          <w:rFonts w:hint="eastAsia" w:ascii="仿宋_GB2312" w:hAnsi="仿宋_GB2312" w:eastAsia="仿宋_GB2312" w:cs="仿宋_GB2312"/>
          <w:color w:val="FF0000"/>
          <w:kern w:val="0"/>
          <w:sz w:val="32"/>
          <w:szCs w:val="32"/>
          <w:highlight w:val="none"/>
        </w:rPr>
      </w:pPr>
      <w:r>
        <w:rPr>
          <w:rFonts w:hint="eastAsia" w:ascii="楷体" w:hAnsi="楷体" w:eastAsia="楷体" w:cs="楷体"/>
          <w:bCs/>
          <w:color w:val="auto"/>
          <w:sz w:val="32"/>
          <w:szCs w:val="32"/>
          <w:highlight w:val="none"/>
        </w:rPr>
        <w:t>（五）组织办理补偿登记。</w:t>
      </w:r>
      <w:r>
        <w:rPr>
          <w:rFonts w:hint="eastAsia" w:ascii="仿宋_GB2312" w:hAnsi="仿宋_GB2312" w:eastAsia="仿宋_GB2312" w:cs="仿宋_GB2312"/>
          <w:color w:val="auto"/>
          <w:sz w:val="32"/>
          <w:szCs w:val="32"/>
          <w:highlight w:val="none"/>
        </w:rPr>
        <w:t>盘州市已按规定在征地补偿安置方案公告规定期限内办理了补偿登记的</w:t>
      </w:r>
      <w:r>
        <w:rPr>
          <w:rFonts w:hint="eastAsia" w:ascii="仿宋_GB2312" w:hAnsi="仿宋_GB2312" w:eastAsia="仿宋_GB2312" w:cs="仿宋_GB2312"/>
          <w:color w:val="FF0000"/>
          <w:sz w:val="32"/>
          <w:szCs w:val="32"/>
          <w:highlight w:val="none"/>
        </w:rPr>
        <w:t>土地所有权人</w:t>
      </w:r>
      <w:r>
        <w:rPr>
          <w:rFonts w:hint="eastAsia" w:ascii="仿宋_GB2312" w:hAnsi="仿宋_GB2312" w:eastAsia="仿宋_GB2312" w:cs="仿宋_GB2312"/>
          <w:color w:val="FF0000"/>
          <w:sz w:val="32"/>
          <w:szCs w:val="32"/>
          <w:highlight w:val="none"/>
          <w:lang w:val="en-US" w:eastAsia="zh-CN"/>
        </w:rPr>
        <w:t>3</w:t>
      </w:r>
      <w:r>
        <w:rPr>
          <w:rFonts w:hint="eastAsia" w:ascii="仿宋_GB2312" w:hAnsi="仿宋_GB2312" w:eastAsia="仿宋_GB2312" w:cs="仿宋_GB2312"/>
          <w:color w:val="FF0000"/>
          <w:kern w:val="0"/>
          <w:sz w:val="32"/>
          <w:szCs w:val="32"/>
          <w:highlight w:val="none"/>
        </w:rPr>
        <w:t>个，土地使用权人</w:t>
      </w:r>
      <w:r>
        <w:rPr>
          <w:rFonts w:hint="eastAsia" w:ascii="仿宋_GB2312" w:hAnsi="仿宋_GB2312" w:eastAsia="仿宋_GB2312" w:cs="仿宋_GB2312"/>
          <w:color w:val="FF0000"/>
          <w:kern w:val="0"/>
          <w:sz w:val="32"/>
          <w:szCs w:val="32"/>
          <w:highlight w:val="none"/>
          <w:lang w:val="en-US" w:eastAsia="zh-CN"/>
        </w:rPr>
        <w:t>74</w:t>
      </w:r>
      <w:r>
        <w:rPr>
          <w:rFonts w:hint="eastAsia" w:ascii="仿宋_GB2312" w:hAnsi="仿宋_GB2312" w:eastAsia="仿宋_GB2312" w:cs="仿宋_GB2312"/>
          <w:color w:val="FF0000"/>
          <w:sz w:val="32"/>
          <w:szCs w:val="32"/>
          <w:highlight w:val="none"/>
        </w:rPr>
        <w:t>户</w:t>
      </w:r>
      <w:r>
        <w:rPr>
          <w:rFonts w:hint="eastAsia" w:ascii="仿宋_GB2312" w:hAnsi="仿宋_GB2312" w:eastAsia="仿宋_GB2312" w:cs="仿宋_GB2312"/>
          <w:color w:val="FF0000"/>
          <w:sz w:val="32"/>
          <w:szCs w:val="32"/>
          <w:highlight w:val="none"/>
          <w:lang w:val="en-US" w:eastAsia="zh-CN"/>
        </w:rPr>
        <w:t>242</w:t>
      </w:r>
      <w:r>
        <w:rPr>
          <w:rFonts w:hint="eastAsia" w:ascii="仿宋_GB2312" w:hAnsi="仿宋_GB2312" w:eastAsia="仿宋_GB2312" w:cs="仿宋_GB2312"/>
          <w:color w:val="FF0000"/>
          <w:sz w:val="32"/>
          <w:szCs w:val="32"/>
          <w:highlight w:val="none"/>
        </w:rPr>
        <w:t>人</w:t>
      </w:r>
      <w:r>
        <w:rPr>
          <w:rFonts w:hint="eastAsia" w:ascii="仿宋_GB2312" w:hAnsi="仿宋_GB2312" w:eastAsia="仿宋_GB2312" w:cs="仿宋_GB2312"/>
          <w:color w:val="FF0000"/>
          <w:kern w:val="0"/>
          <w:sz w:val="32"/>
          <w:szCs w:val="32"/>
          <w:highlight w:val="none"/>
        </w:rPr>
        <w:t>。</w:t>
      </w:r>
    </w:p>
    <w:p w14:paraId="5CD64A39">
      <w:pPr>
        <w:spacing w:line="57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楷体" w:hAnsi="楷体" w:eastAsia="楷体" w:cs="楷体"/>
          <w:bCs/>
          <w:color w:val="auto"/>
          <w:sz w:val="32"/>
          <w:szCs w:val="32"/>
          <w:highlight w:val="none"/>
        </w:rPr>
        <w:t>（六）落实新增建设用地土地有偿使用费、征地补偿安置和社会保障等相关费用。</w:t>
      </w:r>
      <w:r>
        <w:rPr>
          <w:rFonts w:hint="eastAsia" w:ascii="仿宋_GB2312" w:hAnsi="仿宋_GB2312" w:eastAsia="仿宋_GB2312" w:cs="仿宋_GB2312"/>
          <w:color w:val="auto"/>
          <w:kern w:val="0"/>
          <w:sz w:val="32"/>
          <w:szCs w:val="32"/>
          <w:highlight w:val="none"/>
        </w:rPr>
        <w:t>该批次用地涉及新增建设用地</w:t>
      </w:r>
      <w:r>
        <w:rPr>
          <w:rFonts w:hint="eastAsia" w:ascii="仿宋_GB2312" w:hAnsi="仿宋_GB2312" w:eastAsia="仿宋_GB2312" w:cs="仿宋_GB2312"/>
          <w:color w:val="FF0000"/>
          <w:kern w:val="0"/>
          <w:sz w:val="32"/>
          <w:szCs w:val="32"/>
          <w:highlight w:val="none"/>
          <w:lang w:val="en-US" w:eastAsia="zh-CN"/>
        </w:rPr>
        <w:t>6.3781</w:t>
      </w:r>
      <w:r>
        <w:rPr>
          <w:rFonts w:hint="eastAsia" w:ascii="仿宋_GB2312" w:hAnsi="仿宋_GB2312" w:eastAsia="仿宋_GB2312" w:cs="仿宋_GB2312"/>
          <w:color w:val="FF0000"/>
          <w:kern w:val="0"/>
          <w:sz w:val="32"/>
          <w:szCs w:val="32"/>
          <w:highlight w:val="none"/>
        </w:rPr>
        <w:t>公顷，其中盘州市15等别</w:t>
      </w:r>
      <w:r>
        <w:rPr>
          <w:rFonts w:hint="eastAsia" w:ascii="仿宋_GB2312" w:hAnsi="仿宋_GB2312" w:eastAsia="仿宋_GB2312" w:cs="仿宋_GB2312"/>
          <w:color w:val="FF0000"/>
          <w:kern w:val="0"/>
          <w:sz w:val="32"/>
          <w:szCs w:val="32"/>
          <w:highlight w:val="none"/>
          <w:lang w:val="en-US" w:eastAsia="zh-CN"/>
        </w:rPr>
        <w:t>6.3781</w:t>
      </w:r>
      <w:r>
        <w:rPr>
          <w:rFonts w:hint="eastAsia" w:ascii="仿宋_GB2312" w:hAnsi="仿宋_GB2312" w:eastAsia="仿宋_GB2312" w:cs="仿宋_GB2312"/>
          <w:color w:val="FF0000"/>
          <w:kern w:val="0"/>
          <w:sz w:val="32"/>
          <w:szCs w:val="32"/>
          <w:highlight w:val="none"/>
        </w:rPr>
        <w:t>公顷，按规定应缴新增建设用地土地有偿使用费</w:t>
      </w:r>
      <w:r>
        <w:rPr>
          <w:rFonts w:hint="eastAsia" w:ascii="仿宋_GB2312" w:hAnsi="仿宋_GB2312" w:eastAsia="仿宋_GB2312" w:cs="仿宋_GB2312"/>
          <w:color w:val="FF0000"/>
          <w:kern w:val="0"/>
          <w:sz w:val="32"/>
          <w:szCs w:val="32"/>
          <w:highlight w:val="none"/>
          <w:lang w:val="en-US" w:eastAsia="zh-CN"/>
        </w:rPr>
        <w:t>63.7810</w:t>
      </w:r>
      <w:r>
        <w:rPr>
          <w:rFonts w:hint="eastAsia" w:ascii="仿宋_GB2312" w:hAnsi="仿宋_GB2312" w:eastAsia="仿宋_GB2312" w:cs="仿宋_GB2312"/>
          <w:color w:val="FF0000"/>
          <w:kern w:val="0"/>
          <w:sz w:val="32"/>
          <w:szCs w:val="32"/>
          <w:highlight w:val="none"/>
        </w:rPr>
        <w:t>万元。征收土地</w:t>
      </w:r>
      <w:r>
        <w:rPr>
          <w:rFonts w:hint="eastAsia" w:ascii="仿宋_GB2312" w:hAnsi="仿宋_GB2312" w:eastAsia="仿宋_GB2312" w:cs="仿宋_GB2312"/>
          <w:color w:val="FF0000"/>
          <w:kern w:val="0"/>
          <w:sz w:val="32"/>
          <w:szCs w:val="32"/>
          <w:highlight w:val="none"/>
          <w:lang w:val="en-US" w:eastAsia="zh-CN"/>
        </w:rPr>
        <w:t>6.5533</w:t>
      </w:r>
      <w:r>
        <w:rPr>
          <w:rFonts w:hint="eastAsia" w:ascii="仿宋_GB2312" w:hAnsi="仿宋_GB2312" w:eastAsia="仿宋_GB2312" w:cs="仿宋_GB2312"/>
          <w:color w:val="FF0000"/>
          <w:kern w:val="0"/>
          <w:sz w:val="32"/>
          <w:szCs w:val="32"/>
          <w:highlight w:val="none"/>
        </w:rPr>
        <w:t>公顷，应落实征地补偿费</w:t>
      </w:r>
      <w:r>
        <w:rPr>
          <w:rFonts w:hint="eastAsia" w:ascii="仿宋_GB2312" w:hAnsi="仿宋_GB2312" w:eastAsia="仿宋_GB2312" w:cs="仿宋_GB2312"/>
          <w:color w:val="FF0000"/>
          <w:kern w:val="0"/>
          <w:sz w:val="32"/>
          <w:szCs w:val="32"/>
          <w:highlight w:val="none"/>
          <w:lang w:val="en-US" w:eastAsia="zh-CN"/>
        </w:rPr>
        <w:t>287.1129</w:t>
      </w:r>
      <w:r>
        <w:rPr>
          <w:rFonts w:hint="eastAsia" w:ascii="仿宋_GB2312" w:hAnsi="仿宋_GB2312" w:eastAsia="仿宋_GB2312" w:cs="仿宋_GB2312"/>
          <w:color w:val="FF0000"/>
          <w:sz w:val="32"/>
          <w:szCs w:val="32"/>
          <w:highlight w:val="none"/>
        </w:rPr>
        <w:t>万元（土地补偿费</w:t>
      </w:r>
      <w:r>
        <w:rPr>
          <w:rFonts w:hint="eastAsia" w:ascii="仿宋_GB2312" w:hAnsi="仿宋_GB2312" w:eastAsia="仿宋_GB2312" w:cs="仿宋_GB2312"/>
          <w:color w:val="FF0000"/>
          <w:sz w:val="32"/>
          <w:szCs w:val="32"/>
          <w:highlight w:val="none"/>
          <w:lang w:val="en-US" w:eastAsia="zh-CN"/>
        </w:rPr>
        <w:t>117.3010</w:t>
      </w:r>
      <w:r>
        <w:rPr>
          <w:rFonts w:hint="eastAsia" w:ascii="仿宋_GB2312" w:hAnsi="仿宋_GB2312" w:eastAsia="仿宋_GB2312" w:cs="仿宋_GB2312"/>
          <w:color w:val="FF0000"/>
          <w:sz w:val="32"/>
          <w:szCs w:val="32"/>
          <w:highlight w:val="none"/>
        </w:rPr>
        <w:t>万元、安置补助费</w:t>
      </w:r>
      <w:r>
        <w:rPr>
          <w:rFonts w:hint="eastAsia" w:ascii="仿宋_GB2312" w:hAnsi="仿宋_GB2312" w:eastAsia="仿宋_GB2312" w:cs="仿宋_GB2312"/>
          <w:color w:val="FF0000"/>
          <w:sz w:val="32"/>
          <w:szCs w:val="32"/>
          <w:highlight w:val="none"/>
          <w:lang w:val="en-US" w:eastAsia="zh-CN"/>
        </w:rPr>
        <w:t>161.1514</w:t>
      </w:r>
      <w:r>
        <w:rPr>
          <w:rFonts w:hint="eastAsia" w:ascii="仿宋_GB2312" w:hAnsi="仿宋_GB2312" w:eastAsia="仿宋_GB2312" w:cs="仿宋_GB2312"/>
          <w:color w:val="FF0000"/>
          <w:sz w:val="32"/>
          <w:szCs w:val="32"/>
          <w:highlight w:val="none"/>
        </w:rPr>
        <w:t>万元、</w:t>
      </w:r>
      <w:r>
        <w:rPr>
          <w:rFonts w:hint="eastAsia" w:ascii="仿宋_GB2312" w:hAnsi="仿宋_GB2312" w:eastAsia="仿宋_GB2312" w:cs="仿宋_GB2312"/>
          <w:color w:val="FF0000"/>
          <w:sz w:val="32"/>
          <w:szCs w:val="32"/>
          <w:highlight w:val="none"/>
          <w:lang w:val="en-US" w:eastAsia="zh-CN"/>
        </w:rPr>
        <w:t>青苗补偿费8.6605万元，该批次用地不涉及</w:t>
      </w:r>
      <w:r>
        <w:rPr>
          <w:rFonts w:hint="eastAsia" w:ascii="仿宋_GB2312" w:hAnsi="仿宋_GB2312" w:eastAsia="仿宋_GB2312" w:cs="仿宋_GB2312"/>
          <w:color w:val="FF0000"/>
          <w:sz w:val="32"/>
          <w:szCs w:val="32"/>
          <w:highlight w:val="none"/>
        </w:rPr>
        <w:t>地上附着物补偿）</w:t>
      </w:r>
      <w:r>
        <w:rPr>
          <w:rFonts w:hint="eastAsia" w:ascii="仿宋_GB2312" w:hAnsi="仿宋_GB2312" w:eastAsia="仿宋_GB2312" w:cs="仿宋_GB2312"/>
          <w:color w:val="FF0000"/>
          <w:kern w:val="0"/>
          <w:sz w:val="32"/>
          <w:szCs w:val="32"/>
          <w:highlight w:val="none"/>
        </w:rPr>
        <w:t>、被征地农民社会保障费</w:t>
      </w:r>
      <w:r>
        <w:rPr>
          <w:rFonts w:hint="eastAsia" w:ascii="仿宋_GB2312" w:hAnsi="仿宋_GB2312" w:eastAsia="仿宋_GB2312" w:cs="仿宋_GB2312"/>
          <w:color w:val="FF0000"/>
          <w:sz w:val="32"/>
          <w:szCs w:val="32"/>
          <w:highlight w:val="none"/>
          <w:lang w:val="en-US" w:eastAsia="zh-CN"/>
        </w:rPr>
        <w:t>229.5490</w:t>
      </w:r>
      <w:r>
        <w:rPr>
          <w:rFonts w:hint="eastAsia" w:ascii="仿宋_GB2312" w:hAnsi="仿宋_GB2312" w:eastAsia="仿宋_GB2312" w:cs="仿宋_GB2312"/>
          <w:color w:val="FF0000"/>
          <w:kern w:val="0"/>
          <w:sz w:val="32"/>
          <w:szCs w:val="32"/>
          <w:highlight w:val="none"/>
        </w:rPr>
        <w:t>万元。</w:t>
      </w:r>
      <w:r>
        <w:rPr>
          <w:rFonts w:hint="eastAsia" w:ascii="仿宋_GB2312" w:hAnsi="仿宋_GB2312" w:eastAsia="仿宋_GB2312" w:cs="仿宋_GB2312"/>
          <w:color w:val="auto"/>
          <w:kern w:val="0"/>
          <w:sz w:val="32"/>
          <w:szCs w:val="32"/>
          <w:highlight w:val="none"/>
        </w:rPr>
        <w:t>盘州市已采取了纳入预算方式按规定落实了新增建设用地土地有偿使用费、征地补偿资金和社会保障等相关费用，并承诺在收到缴费通</w:t>
      </w:r>
      <w:r>
        <w:rPr>
          <w:rFonts w:hint="eastAsia" w:ascii="仿宋_GB2312" w:hAnsi="仿宋_GB2312" w:eastAsia="仿宋_GB2312" w:cs="仿宋_GB2312"/>
          <w:color w:val="auto"/>
          <w:sz w:val="32"/>
          <w:szCs w:val="32"/>
          <w:highlight w:val="none"/>
        </w:rPr>
        <w:t>知后5个工作日内足额缴纳，如逾期未缴纳用地申请自动失效。</w:t>
      </w:r>
    </w:p>
    <w:p w14:paraId="23EA5708">
      <w:pPr>
        <w:spacing w:line="578" w:lineRule="exact"/>
        <w:ind w:firstLine="640" w:firstLineChars="200"/>
        <w:rPr>
          <w:rFonts w:ascii="Times New Roman" w:hAnsi="Times New Roman" w:eastAsia="仿宋_GB2312" w:cs="仿宋_GB2312"/>
          <w:color w:val="auto"/>
          <w:sz w:val="32"/>
          <w:szCs w:val="32"/>
          <w:highlight w:val="none"/>
        </w:rPr>
      </w:pPr>
      <w:r>
        <w:rPr>
          <w:rFonts w:hint="eastAsia" w:ascii="楷体" w:hAnsi="楷体" w:eastAsia="楷体" w:cs="楷体"/>
          <w:bCs/>
          <w:color w:val="auto"/>
          <w:sz w:val="32"/>
          <w:szCs w:val="32"/>
          <w:highlight w:val="none"/>
        </w:rPr>
        <w:t>（七）签订征地补偿安置协议。</w:t>
      </w:r>
      <w:r>
        <w:rPr>
          <w:rFonts w:hint="eastAsia" w:ascii="Times New Roman" w:hAnsi="Times New Roman" w:eastAsia="仿宋_GB2312" w:cs="仿宋_GB2312"/>
          <w:color w:val="auto"/>
          <w:kern w:val="0"/>
          <w:sz w:val="32"/>
          <w:szCs w:val="32"/>
          <w:highlight w:val="none"/>
        </w:rPr>
        <w:t>盘州市已按规定完成了签订征地补偿安置协议工作，已与涉及的全部拟征收土地的所有权人、使用权人签订了征地补偿安置协议。</w:t>
      </w:r>
    </w:p>
    <w:p w14:paraId="70199E14">
      <w:pPr>
        <w:spacing w:line="578"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四、征地补偿安置情况</w:t>
      </w:r>
    </w:p>
    <w:p w14:paraId="21D24CBE">
      <w:pPr>
        <w:spacing w:line="57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该</w:t>
      </w:r>
      <w:r>
        <w:rPr>
          <w:rFonts w:hint="eastAsia" w:ascii="仿宋_GB2312" w:hAnsi="仿宋_GB2312" w:eastAsia="仿宋_GB2312" w:cs="仿宋_GB2312"/>
          <w:color w:val="auto"/>
          <w:sz w:val="32"/>
          <w:szCs w:val="32"/>
          <w:highlight w:val="none"/>
          <w:lang w:val="en-US" w:eastAsia="zh-CN"/>
        </w:rPr>
        <w:t>批次</w:t>
      </w:r>
      <w:r>
        <w:rPr>
          <w:rFonts w:hint="eastAsia" w:ascii="仿宋_GB2312" w:hAnsi="仿宋_GB2312" w:eastAsia="仿宋_GB2312" w:cs="仿宋_GB2312"/>
          <w:color w:val="auto"/>
          <w:sz w:val="32"/>
          <w:szCs w:val="32"/>
          <w:highlight w:val="none"/>
        </w:rPr>
        <w:t>用地土地补偿费、安置补助费按照经省人民政府同意</w:t>
      </w:r>
      <w:r>
        <w:rPr>
          <w:rFonts w:hint="eastAsia" w:ascii="仿宋_GB2312" w:hAnsi="仿宋_GB2312" w:eastAsia="仿宋_GB2312" w:cs="仿宋_GB2312"/>
          <w:color w:val="auto"/>
          <w:sz w:val="32"/>
          <w:szCs w:val="32"/>
          <w:highlight w:val="none"/>
          <w:lang w:val="en-US" w:eastAsia="zh-CN"/>
        </w:rPr>
        <w:t>六盘水</w:t>
      </w:r>
      <w:r>
        <w:rPr>
          <w:rFonts w:hint="eastAsia" w:ascii="仿宋_GB2312" w:hAnsi="仿宋_GB2312" w:eastAsia="仿宋_GB2312" w:cs="仿宋_GB2312"/>
          <w:color w:val="auto"/>
          <w:sz w:val="32"/>
          <w:szCs w:val="32"/>
          <w:highlight w:val="none"/>
        </w:rPr>
        <w:t>市人民政府于2023年12月公布的《</w:t>
      </w:r>
      <w:r>
        <w:rPr>
          <w:rFonts w:hint="eastAsia" w:ascii="Times New Roman" w:hAnsi="Times New Roman" w:eastAsia="仿宋_GB2312" w:cs="仿宋_GB2312"/>
          <w:color w:val="FF0000"/>
          <w:sz w:val="32"/>
          <w:szCs w:val="32"/>
        </w:rPr>
        <w:t>市人民政府关于公布六盘水市征地区片综合地价标准有关事宜的通知</w:t>
      </w:r>
      <w:r>
        <w:rPr>
          <w:rFonts w:hint="eastAsia" w:ascii="仿宋_GB2312" w:hAnsi="仿宋_GB2312" w:eastAsia="仿宋_GB2312" w:cs="仿宋_GB2312"/>
          <w:color w:val="auto"/>
          <w:sz w:val="32"/>
          <w:szCs w:val="32"/>
          <w:highlight w:val="none"/>
        </w:rPr>
        <w:t>》（六盘水府函〔2023〕28号）等有关规定，在拟定的征地补偿安置方案中进行明确。共涉及1个征地区片综合地价片区，每亩补偿0.6万元至3.9万元。</w:t>
      </w:r>
      <w:r>
        <w:rPr>
          <w:rFonts w:hint="eastAsia" w:ascii="仿宋_GB2312" w:hAnsi="仿宋_GB2312" w:eastAsia="仿宋_GB2312" w:cs="仿宋_GB2312"/>
          <w:color w:val="auto"/>
          <w:kern w:val="0"/>
          <w:sz w:val="32"/>
          <w:szCs w:val="32"/>
          <w:highlight w:val="none"/>
          <w:lang w:bidi="ar"/>
        </w:rPr>
        <w:t>地上附着物补偿费用按照《市人民政府关于公布六盘水市征地区片综合地价标准等有关事宜的通知》（六盘水府函〔2020〕44号）执行。</w:t>
      </w:r>
    </w:p>
    <w:p w14:paraId="1BD6E905">
      <w:pPr>
        <w:spacing w:line="578"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FF0000"/>
          <w:kern w:val="0"/>
          <w:sz w:val="32"/>
          <w:szCs w:val="32"/>
          <w:highlight w:val="yellow"/>
        </w:rPr>
        <w:t>该批次用地</w:t>
      </w:r>
      <w:r>
        <w:rPr>
          <w:rFonts w:hint="default" w:ascii="Times New Roman" w:hAnsi="Times New Roman" w:eastAsia="仿宋_GB2312" w:cs="Times New Roman"/>
          <w:color w:val="FF0000"/>
          <w:kern w:val="2"/>
          <w:sz w:val="32"/>
          <w:szCs w:val="32"/>
          <w:highlight w:val="yellow"/>
          <w:lang w:val="en-US" w:eastAsia="zh-CN" w:bidi="ar-SA"/>
        </w:rPr>
        <w:t>涉及</w:t>
      </w:r>
      <w:r>
        <w:rPr>
          <w:rFonts w:hint="eastAsia" w:ascii="Times New Roman" w:hAnsi="Times New Roman" w:eastAsia="仿宋_GB2312" w:cs="Times New Roman"/>
          <w:color w:val="FF0000"/>
          <w:kern w:val="2"/>
          <w:sz w:val="32"/>
          <w:szCs w:val="32"/>
          <w:highlight w:val="yellow"/>
          <w:lang w:val="en-US" w:eastAsia="zh-CN" w:bidi="ar-SA"/>
        </w:rPr>
        <w:t>非农业</w:t>
      </w:r>
      <w:r>
        <w:rPr>
          <w:rFonts w:hint="default" w:ascii="Times New Roman" w:hAnsi="Times New Roman" w:eastAsia="仿宋_GB2312" w:cs="Times New Roman"/>
          <w:color w:val="FF0000"/>
          <w:kern w:val="2"/>
          <w:sz w:val="32"/>
          <w:szCs w:val="32"/>
          <w:highlight w:val="yellow"/>
          <w:lang w:val="en-US" w:eastAsia="zh-CN" w:bidi="ar-SA"/>
        </w:rPr>
        <w:t>人口242人，劳动力112人</w:t>
      </w:r>
      <w:r>
        <w:rPr>
          <w:rFonts w:hint="eastAsia" w:ascii="仿宋_GB2312" w:hAnsi="仿宋_GB2312" w:eastAsia="仿宋_GB2312" w:cs="仿宋_GB2312"/>
          <w:color w:val="FF0000"/>
          <w:kern w:val="0"/>
          <w:sz w:val="32"/>
          <w:szCs w:val="32"/>
          <w:highlight w:val="yellow"/>
        </w:rPr>
        <w:t>，应安置人员</w:t>
      </w:r>
      <w:r>
        <w:rPr>
          <w:rFonts w:hint="eastAsia" w:ascii="仿宋_GB2312" w:hAnsi="仿宋_GB2312" w:eastAsia="仿宋_GB2312" w:cs="仿宋_GB2312"/>
          <w:color w:val="FF0000"/>
          <w:kern w:val="0"/>
          <w:sz w:val="32"/>
          <w:szCs w:val="32"/>
          <w:highlight w:val="yellow"/>
          <w:lang w:val="en-US" w:eastAsia="zh-CN"/>
        </w:rPr>
        <w:t>242</w:t>
      </w:r>
      <w:r>
        <w:rPr>
          <w:rFonts w:hint="eastAsia" w:ascii="仿宋_GB2312" w:hAnsi="仿宋_GB2312" w:eastAsia="仿宋_GB2312" w:cs="仿宋_GB2312"/>
          <w:color w:val="FF0000"/>
          <w:kern w:val="0"/>
          <w:sz w:val="32"/>
          <w:szCs w:val="32"/>
          <w:highlight w:val="yellow"/>
        </w:rPr>
        <w:t>人，计划通过货币安置</w:t>
      </w:r>
      <w:r>
        <w:rPr>
          <w:rFonts w:hint="eastAsia" w:ascii="仿宋_GB2312" w:hAnsi="仿宋_GB2312" w:eastAsia="仿宋_GB2312" w:cs="仿宋_GB2312"/>
          <w:color w:val="FF0000"/>
          <w:kern w:val="0"/>
          <w:sz w:val="32"/>
          <w:szCs w:val="32"/>
          <w:highlight w:val="yellow"/>
          <w:lang w:val="en-US" w:eastAsia="zh-CN"/>
        </w:rPr>
        <w:t>242</w:t>
      </w:r>
      <w:r>
        <w:rPr>
          <w:rFonts w:hint="eastAsia" w:ascii="仿宋_GB2312" w:hAnsi="仿宋_GB2312" w:eastAsia="仿宋_GB2312" w:cs="仿宋_GB2312"/>
          <w:color w:val="FF0000"/>
          <w:kern w:val="0"/>
          <w:sz w:val="32"/>
          <w:szCs w:val="32"/>
          <w:highlight w:val="yellow"/>
        </w:rPr>
        <w:t>人，涉及社保安置</w:t>
      </w:r>
      <w:r>
        <w:rPr>
          <w:rFonts w:hint="eastAsia" w:ascii="仿宋_GB2312" w:hAnsi="仿宋_GB2312" w:eastAsia="仿宋_GB2312" w:cs="仿宋_GB2312"/>
          <w:color w:val="FF0000"/>
          <w:kern w:val="0"/>
          <w:sz w:val="32"/>
          <w:szCs w:val="32"/>
          <w:highlight w:val="yellow"/>
          <w:lang w:val="en-US" w:eastAsia="zh-CN"/>
        </w:rPr>
        <w:t>12</w:t>
      </w:r>
      <w:r>
        <w:rPr>
          <w:rFonts w:hint="eastAsia" w:ascii="仿宋_GB2312" w:hAnsi="仿宋_GB2312" w:eastAsia="仿宋_GB2312" w:cs="仿宋_GB2312"/>
          <w:color w:val="FF0000"/>
          <w:kern w:val="0"/>
          <w:sz w:val="32"/>
          <w:szCs w:val="32"/>
          <w:highlight w:val="yellow"/>
        </w:rPr>
        <w:t>人</w:t>
      </w:r>
      <w:r>
        <w:rPr>
          <w:rFonts w:hint="eastAsia" w:ascii="仿宋_GB2312" w:hAnsi="仿宋_GB2312" w:eastAsia="仿宋_GB2312" w:cs="仿宋_GB2312"/>
          <w:color w:val="FF0000"/>
          <w:sz w:val="32"/>
          <w:szCs w:val="32"/>
          <w:highlight w:val="none"/>
        </w:rPr>
        <w:t>。</w:t>
      </w:r>
      <w:r>
        <w:rPr>
          <w:rFonts w:hint="eastAsia" w:ascii="仿宋_GB2312" w:hAnsi="仿宋_GB2312" w:eastAsia="仿宋_GB2312" w:cs="仿宋_GB2312"/>
          <w:color w:val="auto"/>
          <w:sz w:val="32"/>
          <w:szCs w:val="32"/>
          <w:highlight w:val="none"/>
        </w:rPr>
        <w:t>可以确保被征地农民原有生活水平不降低、长远生计有保障。</w:t>
      </w:r>
    </w:p>
    <w:p w14:paraId="1EB6300C">
      <w:pPr>
        <w:spacing w:line="578"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rPr>
        <w:t>被征地农民的</w:t>
      </w:r>
      <w:r>
        <w:rPr>
          <w:rFonts w:hint="eastAsia" w:ascii="仿宋_GB2312" w:hAnsi="仿宋_GB2312" w:eastAsia="仿宋_GB2312" w:cs="仿宋_GB2312"/>
          <w:color w:val="auto"/>
          <w:sz w:val="32"/>
          <w:szCs w:val="32"/>
          <w:highlight w:val="none"/>
        </w:rPr>
        <w:t>社会保障费用按照《省人民政府关于进一步做好被征地农民就业和社会保障工作的意见》（黔府发〔2011〕26号）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《市人民政府办公室关于转发市人资社保局关于六盘水市被征地农民就业和社会保障工作实施意见的通知》（六盘水府办函〔2014〕53号）执行，被征地农民纳入城乡居民养老保险社会保障体系。</w:t>
      </w:r>
    </w:p>
    <w:p w14:paraId="4E5DFDEC">
      <w:pPr>
        <w:spacing w:line="578"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rPr>
        <w:t>该批次用地不涉及征收农村村民住宅</w:t>
      </w:r>
      <w:r>
        <w:rPr>
          <w:rFonts w:hint="eastAsia" w:ascii="仿宋_GB2312" w:hAnsi="仿宋_GB2312" w:eastAsia="仿宋_GB2312" w:cs="仿宋_GB2312"/>
          <w:color w:val="auto"/>
          <w:sz w:val="32"/>
          <w:szCs w:val="32"/>
          <w:highlight w:val="none"/>
        </w:rPr>
        <w:t>。</w:t>
      </w:r>
    </w:p>
    <w:p w14:paraId="06E31E1B">
      <w:pPr>
        <w:spacing w:line="578"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综上，盘州市已依法完成征收土地前期工作、拟定农用地转用方案，征地补偿安置符合相关规定要求，现申请审批农用地转用并征收土地。</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zh-CN"/>
        </w:rPr>
        <w:t>将</w:t>
      </w:r>
      <w:r>
        <w:rPr>
          <w:rFonts w:hint="eastAsia" w:ascii="仿宋_GB2312" w:hAnsi="仿宋_GB2312" w:eastAsia="仿宋_GB2312" w:cs="仿宋_GB2312"/>
          <w:snapToGrid w:val="0"/>
          <w:color w:val="auto"/>
          <w:kern w:val="0"/>
          <w:sz w:val="32"/>
          <w:szCs w:val="22"/>
          <w:highlight w:val="none"/>
          <w:lang w:val="en-US" w:eastAsia="zh-CN"/>
        </w:rPr>
        <w:t>盘州市保田镇上保田村，红果街道下沙居委会、舍勒居委会</w:t>
      </w:r>
      <w:r>
        <w:rPr>
          <w:rFonts w:hint="eastAsia" w:ascii="仿宋_GB2312" w:hAnsi="仿宋_GB2312" w:eastAsia="仿宋_GB2312" w:cs="仿宋_GB2312"/>
          <w:color w:val="auto"/>
          <w:sz w:val="32"/>
          <w:szCs w:val="32"/>
          <w:highlight w:val="none"/>
        </w:rPr>
        <w:t>集体</w:t>
      </w:r>
      <w:r>
        <w:rPr>
          <w:rFonts w:hint="eastAsia" w:ascii="仿宋_GB2312" w:hAnsi="仿宋_GB2312" w:eastAsia="仿宋_GB2312" w:cs="仿宋_GB2312"/>
          <w:color w:val="auto"/>
          <w:kern w:val="0"/>
          <w:sz w:val="32"/>
          <w:szCs w:val="32"/>
          <w:highlight w:val="none"/>
        </w:rPr>
        <w:t>农用地</w:t>
      </w:r>
      <w:r>
        <w:rPr>
          <w:rFonts w:hint="eastAsia" w:ascii="仿宋_GB2312" w:hAnsi="仿宋_GB2312" w:eastAsia="仿宋_GB2312" w:cs="仿宋_GB2312"/>
          <w:color w:val="FF0000"/>
          <w:sz w:val="32"/>
          <w:szCs w:val="32"/>
          <w:highlight w:val="none"/>
          <w:lang w:val="en-US" w:eastAsia="zh-CN"/>
        </w:rPr>
        <w:t>5.2818</w:t>
      </w:r>
      <w:r>
        <w:rPr>
          <w:rFonts w:hint="eastAsia" w:ascii="仿宋_GB2312" w:hAnsi="仿宋_GB2312" w:eastAsia="仿宋_GB2312" w:cs="仿宋_GB2312"/>
          <w:color w:val="FF0000"/>
          <w:sz w:val="32"/>
          <w:szCs w:val="32"/>
          <w:highlight w:val="none"/>
        </w:rPr>
        <w:t>公顷（耕地</w:t>
      </w:r>
      <w:r>
        <w:rPr>
          <w:rFonts w:hint="eastAsia" w:ascii="仿宋_GB2312" w:hAnsi="仿宋_GB2312" w:eastAsia="仿宋_GB2312" w:cs="仿宋_GB2312"/>
          <w:color w:val="FF0000"/>
          <w:kern w:val="0"/>
          <w:sz w:val="32"/>
          <w:szCs w:val="32"/>
          <w:highlight w:val="none"/>
          <w:lang w:val="en-US" w:eastAsia="zh-CN"/>
        </w:rPr>
        <w:t>3.8491</w:t>
      </w:r>
      <w:r>
        <w:rPr>
          <w:rFonts w:hint="eastAsia" w:ascii="仿宋_GB2312" w:hAnsi="仿宋_GB2312" w:eastAsia="仿宋_GB2312" w:cs="仿宋_GB2312"/>
          <w:color w:val="FF0000"/>
          <w:sz w:val="32"/>
          <w:szCs w:val="32"/>
          <w:highlight w:val="none"/>
        </w:rPr>
        <w:t>公顷</w:t>
      </w:r>
      <w:r>
        <w:rPr>
          <w:rFonts w:hint="eastAsia" w:ascii="仿宋_GB2312" w:hAnsi="仿宋_GB2312" w:eastAsia="仿宋_GB2312" w:cs="仿宋_GB2312"/>
          <w:color w:val="FF0000"/>
          <w:kern w:val="0"/>
          <w:sz w:val="32"/>
          <w:szCs w:val="32"/>
          <w:highlight w:val="none"/>
          <w:lang w:val="en-US" w:eastAsia="zh-CN"/>
        </w:rPr>
        <w:t>〈水田0.9376公顷，旱地2.9115公顷</w:t>
      </w:r>
      <w:r>
        <w:rPr>
          <w:rFonts w:hint="eastAsia" w:ascii="仿宋_GB2312" w:hAnsi="仿宋_GB2312" w:eastAsia="仿宋_GB2312" w:cs="仿宋_GB2312"/>
          <w:color w:val="FF0000"/>
          <w:sz w:val="32"/>
          <w:szCs w:val="32"/>
          <w:highlight w:val="none"/>
          <w:lang w:eastAsia="zh-CN"/>
        </w:rPr>
        <w:t>；</w:t>
      </w:r>
      <w:r>
        <w:rPr>
          <w:rFonts w:hint="eastAsia" w:ascii="仿宋_GB2312" w:hAnsi="仿宋_GB2312" w:eastAsia="仿宋_GB2312" w:cs="仿宋_GB2312"/>
          <w:color w:val="FF0000"/>
          <w:sz w:val="32"/>
          <w:szCs w:val="32"/>
          <w:highlight w:val="none"/>
        </w:rPr>
        <w:t>不涉及永久基本农田</w:t>
      </w:r>
      <w:r>
        <w:rPr>
          <w:rFonts w:hint="eastAsia" w:ascii="仿宋_GB2312" w:hAnsi="仿宋_GB2312" w:eastAsia="仿宋_GB2312" w:cs="仿宋_GB2312"/>
          <w:color w:val="FF0000"/>
          <w:kern w:val="0"/>
          <w:sz w:val="32"/>
          <w:szCs w:val="32"/>
          <w:highlight w:val="none"/>
          <w:lang w:val="en-US" w:eastAsia="zh-CN"/>
        </w:rPr>
        <w:t>〉</w:t>
      </w:r>
      <w:r>
        <w:rPr>
          <w:rFonts w:hint="eastAsia" w:ascii="仿宋_GB2312" w:hAnsi="仿宋_GB2312" w:eastAsia="仿宋_GB2312" w:cs="仿宋_GB2312"/>
          <w:color w:val="FF0000"/>
          <w:sz w:val="32"/>
          <w:szCs w:val="32"/>
          <w:highlight w:val="none"/>
          <w:lang w:eastAsia="zh-CN"/>
        </w:rPr>
        <w:t>、</w:t>
      </w:r>
      <w:r>
        <w:rPr>
          <w:rFonts w:hint="eastAsia" w:ascii="仿宋_GB2312" w:hAnsi="仿宋_GB2312" w:eastAsia="仿宋_GB2312" w:cs="仿宋_GB2312"/>
          <w:color w:val="FF0000"/>
          <w:kern w:val="0"/>
          <w:sz w:val="32"/>
          <w:szCs w:val="32"/>
          <w:highlight w:val="none"/>
        </w:rPr>
        <w:t>园地0.4084</w:t>
      </w:r>
      <w:r>
        <w:rPr>
          <w:rFonts w:hint="eastAsia" w:ascii="仿宋_GB2312" w:hAnsi="仿宋_GB2312" w:eastAsia="仿宋_GB2312" w:cs="仿宋_GB2312"/>
          <w:color w:val="FF0000"/>
          <w:kern w:val="0"/>
          <w:sz w:val="32"/>
          <w:szCs w:val="32"/>
          <w:highlight w:val="none"/>
          <w:lang w:val="en-US" w:eastAsia="zh-CN"/>
        </w:rPr>
        <w:t>公顷、林地0.4748公顷、其他农用地0.5495公顷</w:t>
      </w:r>
      <w:r>
        <w:rPr>
          <w:rFonts w:hint="eastAsia" w:ascii="仿宋_GB2312" w:hAnsi="仿宋_GB2312" w:eastAsia="仿宋_GB2312" w:cs="仿宋_GB2312"/>
          <w:color w:val="FF0000"/>
          <w:kern w:val="0"/>
          <w:sz w:val="32"/>
          <w:szCs w:val="32"/>
          <w:highlight w:val="none"/>
        </w:rPr>
        <w:t>）</w:t>
      </w:r>
      <w:r>
        <w:rPr>
          <w:rFonts w:hint="eastAsia" w:ascii="仿宋_GB2312" w:hAnsi="仿宋_GB2312" w:eastAsia="仿宋_GB2312" w:cs="仿宋_GB2312"/>
          <w:color w:val="FF0000"/>
          <w:kern w:val="0"/>
          <w:sz w:val="32"/>
          <w:szCs w:val="32"/>
          <w:highlight w:val="none"/>
          <w:lang w:eastAsia="zh-CN"/>
        </w:rPr>
        <w:t>、</w:t>
      </w:r>
      <w:r>
        <w:rPr>
          <w:rFonts w:hint="eastAsia" w:ascii="仿宋_GB2312" w:hAnsi="仿宋_GB2312" w:eastAsia="仿宋_GB2312" w:cs="仿宋_GB2312"/>
          <w:color w:val="FF0000"/>
          <w:sz w:val="32"/>
          <w:szCs w:val="32"/>
          <w:highlight w:val="none"/>
          <w:lang w:val="en-US" w:eastAsia="zh-CN"/>
        </w:rPr>
        <w:t>集体未利用地1.0963公顷</w:t>
      </w:r>
      <w:r>
        <w:rPr>
          <w:rFonts w:hint="eastAsia" w:ascii="仿宋_GB2312" w:hAnsi="仿宋_GB2312" w:eastAsia="仿宋_GB2312" w:cs="仿宋_GB2312"/>
          <w:color w:val="FF0000"/>
          <w:kern w:val="0"/>
          <w:sz w:val="32"/>
          <w:szCs w:val="32"/>
          <w:highlight w:val="none"/>
        </w:rPr>
        <w:t>转为建设用地，同时申请将上述集体经济组织的集体新增建设用地</w:t>
      </w:r>
      <w:r>
        <w:rPr>
          <w:rFonts w:hint="eastAsia" w:ascii="仿宋_GB2312" w:hAnsi="仿宋_GB2312" w:eastAsia="仿宋_GB2312" w:cs="仿宋_GB2312"/>
          <w:color w:val="FF0000"/>
          <w:kern w:val="0"/>
          <w:sz w:val="32"/>
          <w:szCs w:val="32"/>
          <w:highlight w:val="none"/>
          <w:lang w:val="en-US" w:eastAsia="zh-CN"/>
        </w:rPr>
        <w:t>6.3781</w:t>
      </w:r>
      <w:r>
        <w:rPr>
          <w:rFonts w:hint="eastAsia" w:ascii="仿宋_GB2312" w:hAnsi="仿宋_GB2312" w:eastAsia="仿宋_GB2312" w:cs="仿宋_GB2312"/>
          <w:color w:val="FF0000"/>
          <w:kern w:val="0"/>
          <w:sz w:val="32"/>
          <w:szCs w:val="32"/>
          <w:highlight w:val="none"/>
        </w:rPr>
        <w:t>公顷和原有集体建设用地</w:t>
      </w:r>
      <w:r>
        <w:rPr>
          <w:rFonts w:hint="eastAsia" w:ascii="仿宋_GB2312" w:hAnsi="仿宋_GB2312" w:eastAsia="仿宋_GB2312" w:cs="仿宋_GB2312"/>
          <w:color w:val="FF0000"/>
          <w:kern w:val="0"/>
          <w:sz w:val="32"/>
          <w:szCs w:val="32"/>
          <w:highlight w:val="none"/>
          <w:lang w:val="en-US" w:eastAsia="zh-CN"/>
        </w:rPr>
        <w:t>0.1752</w:t>
      </w:r>
      <w:r>
        <w:rPr>
          <w:rFonts w:hint="eastAsia" w:ascii="仿宋_GB2312" w:hAnsi="仿宋_GB2312" w:eastAsia="仿宋_GB2312" w:cs="仿宋_GB2312"/>
          <w:color w:val="FF0000"/>
          <w:kern w:val="0"/>
          <w:sz w:val="32"/>
          <w:szCs w:val="32"/>
          <w:highlight w:val="none"/>
        </w:rPr>
        <w:t>公顷，共计</w:t>
      </w:r>
      <w:r>
        <w:rPr>
          <w:rFonts w:hint="eastAsia" w:ascii="仿宋_GB2312" w:hAnsi="仿宋_GB2312" w:eastAsia="仿宋_GB2312" w:cs="仿宋_GB2312"/>
          <w:color w:val="FF0000"/>
          <w:sz w:val="32"/>
          <w:szCs w:val="32"/>
          <w:highlight w:val="none"/>
          <w:lang w:val="en-US" w:eastAsia="zh-CN"/>
        </w:rPr>
        <w:t>6.5533</w:t>
      </w:r>
      <w:r>
        <w:rPr>
          <w:rFonts w:hint="eastAsia" w:ascii="仿宋_GB2312" w:hAnsi="仿宋_GB2312" w:eastAsia="仿宋_GB2312" w:cs="仿宋_GB2312"/>
          <w:color w:val="FF0000"/>
          <w:kern w:val="0"/>
          <w:sz w:val="32"/>
          <w:szCs w:val="32"/>
          <w:highlight w:val="none"/>
        </w:rPr>
        <w:t>公顷土地征为国有土地</w:t>
      </w:r>
      <w:r>
        <w:rPr>
          <w:rFonts w:hint="eastAsia" w:ascii="仿宋_GB2312" w:hAnsi="仿宋_GB2312" w:eastAsia="仿宋_GB2312" w:cs="仿宋_GB2312"/>
          <w:color w:val="FF0000"/>
          <w:kern w:val="0"/>
          <w:sz w:val="32"/>
          <w:szCs w:val="32"/>
          <w:highlight w:val="none"/>
          <w:lang w:val="en-US" w:eastAsia="zh-CN"/>
        </w:rPr>
        <w:t>。</w:t>
      </w:r>
      <w:r>
        <w:rPr>
          <w:rFonts w:hint="eastAsia" w:ascii="仿宋_GB2312" w:hAnsi="仿宋_GB2312" w:eastAsia="仿宋_GB2312" w:cs="仿宋_GB2312"/>
          <w:color w:val="FF0000"/>
          <w:kern w:val="0"/>
          <w:sz w:val="32"/>
          <w:szCs w:val="32"/>
          <w:highlight w:val="none"/>
        </w:rPr>
        <w:t>以上共计申请建设用地</w:t>
      </w:r>
      <w:r>
        <w:rPr>
          <w:rFonts w:hint="eastAsia" w:ascii="仿宋_GB2312" w:hAnsi="仿宋_GB2312" w:eastAsia="仿宋_GB2312" w:cs="仿宋_GB2312"/>
          <w:color w:val="FF0000"/>
          <w:kern w:val="0"/>
          <w:sz w:val="32"/>
          <w:szCs w:val="32"/>
          <w:highlight w:val="none"/>
          <w:lang w:val="en-US" w:eastAsia="zh-CN"/>
        </w:rPr>
        <w:t>6.5533</w:t>
      </w:r>
      <w:r>
        <w:rPr>
          <w:rFonts w:hint="eastAsia" w:ascii="仿宋_GB2312" w:hAnsi="仿宋_GB2312" w:eastAsia="仿宋_GB2312" w:cs="仿宋_GB2312"/>
          <w:color w:val="FF0000"/>
          <w:kern w:val="0"/>
          <w:sz w:val="32"/>
          <w:szCs w:val="32"/>
          <w:highlight w:val="none"/>
        </w:rPr>
        <w:t>公顷，其中新增建设用地</w:t>
      </w:r>
      <w:r>
        <w:rPr>
          <w:rFonts w:hint="eastAsia" w:ascii="仿宋_GB2312" w:hAnsi="仿宋_GB2312" w:eastAsia="仿宋_GB2312" w:cs="仿宋_GB2312"/>
          <w:color w:val="FF0000"/>
          <w:kern w:val="0"/>
          <w:sz w:val="32"/>
          <w:szCs w:val="32"/>
          <w:highlight w:val="none"/>
          <w:lang w:val="en-US" w:eastAsia="zh-CN"/>
        </w:rPr>
        <w:t>6.3781</w:t>
      </w:r>
      <w:r>
        <w:rPr>
          <w:rFonts w:hint="eastAsia" w:ascii="仿宋_GB2312" w:hAnsi="仿宋_GB2312" w:eastAsia="仿宋_GB2312" w:cs="仿宋_GB2312"/>
          <w:color w:val="FF0000"/>
          <w:kern w:val="0"/>
          <w:sz w:val="32"/>
          <w:szCs w:val="32"/>
          <w:highlight w:val="none"/>
        </w:rPr>
        <w:t>公顷，涉及占用耕地</w:t>
      </w:r>
      <w:r>
        <w:rPr>
          <w:rFonts w:hint="eastAsia" w:ascii="仿宋_GB2312" w:hAnsi="仿宋_GB2312" w:eastAsia="仿宋_GB2312" w:cs="仿宋_GB2312"/>
          <w:color w:val="FF0000"/>
          <w:sz w:val="32"/>
          <w:szCs w:val="32"/>
          <w:highlight w:val="none"/>
          <w:lang w:val="en-US" w:eastAsia="zh-CN"/>
        </w:rPr>
        <w:t>3.8491</w:t>
      </w:r>
      <w:r>
        <w:rPr>
          <w:rFonts w:hint="eastAsia" w:ascii="仿宋_GB2312" w:hAnsi="仿宋_GB2312" w:eastAsia="仿宋_GB2312" w:cs="仿宋_GB2312"/>
          <w:color w:val="FF0000"/>
          <w:kern w:val="0"/>
          <w:sz w:val="32"/>
          <w:szCs w:val="32"/>
          <w:highlight w:val="none"/>
        </w:rPr>
        <w:t>公顷。</w:t>
      </w:r>
      <w:r>
        <w:rPr>
          <w:rFonts w:hint="eastAsia" w:ascii="仿宋_GB2312" w:hAnsi="仿宋_GB2312" w:eastAsia="仿宋_GB2312" w:cs="仿宋_GB2312"/>
          <w:color w:val="auto"/>
          <w:kern w:val="0"/>
          <w:sz w:val="32"/>
          <w:szCs w:val="32"/>
          <w:highlight w:val="none"/>
          <w:lang w:val="zh-CN"/>
        </w:rPr>
        <w:t>作为盘州市2024年度第十批次城镇建设用地。现申请审批农用地转用并征收土地。</w:t>
      </w:r>
    </w:p>
    <w:p w14:paraId="52069D57">
      <w:pPr>
        <w:suppressAutoHyphens/>
        <w:spacing w:line="58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土地征收后，盘州市不动产登记机构将依据征地批准文件依嘱托及时办理集体土地所有权注销或变更登记，维护权利人合法权益，确保土地权属清晰、无争议。</w:t>
      </w:r>
    </w:p>
    <w:p w14:paraId="3A625FC8">
      <w:pPr>
        <w:spacing w:line="578" w:lineRule="exact"/>
        <w:ind w:firstLine="640" w:firstLineChars="200"/>
        <w:rPr>
          <w:rFonts w:hint="eastAsia" w:ascii="仿宋_GB2312" w:hAnsi="仿宋_GB2312" w:eastAsia="仿宋_GB2312" w:cs="仿宋_GB2312"/>
          <w:color w:val="000000"/>
          <w:kern w:val="0"/>
          <w:sz w:val="32"/>
          <w:szCs w:val="32"/>
          <w:highlight w:val="none"/>
          <w:lang w:eastAsia="zh-TW"/>
        </w:rPr>
      </w:pPr>
      <w:r>
        <w:rPr>
          <w:rFonts w:hint="eastAsia" w:ascii="仿宋_GB2312" w:hAnsi="仿宋_GB2312" w:eastAsia="仿宋_GB2312" w:cs="仿宋_GB2312"/>
          <w:color w:val="000000"/>
          <w:kern w:val="0"/>
          <w:sz w:val="32"/>
          <w:szCs w:val="32"/>
          <w:highlight w:val="none"/>
          <w:lang w:eastAsia="zh-TW"/>
        </w:rPr>
        <w:t>妥否，请批示。</w:t>
      </w:r>
    </w:p>
    <w:p w14:paraId="6B014888">
      <w:pPr>
        <w:pStyle w:val="13"/>
        <w:spacing w:line="578" w:lineRule="exact"/>
        <w:ind w:left="420" w:firstLine="640"/>
        <w:rPr>
          <w:rFonts w:hint="eastAsia" w:ascii="仿宋_GB2312" w:hAnsi="仿宋_GB2312" w:eastAsia="仿宋_GB2312" w:cs="仿宋_GB2312"/>
          <w:color w:val="000000"/>
          <w:sz w:val="32"/>
          <w:szCs w:val="32"/>
          <w:highlight w:val="none"/>
          <w:lang w:eastAsia="zh-TW"/>
        </w:rPr>
      </w:pPr>
    </w:p>
    <w:p w14:paraId="2B48712F">
      <w:pPr>
        <w:pStyle w:val="12"/>
        <w:spacing w:line="578" w:lineRule="exact"/>
        <w:ind w:firstLine="320"/>
        <w:rPr>
          <w:rFonts w:hint="eastAsia" w:ascii="仿宋_GB2312" w:hAnsi="仿宋_GB2312" w:eastAsia="仿宋_GB2312" w:cs="仿宋_GB2312"/>
          <w:sz w:val="32"/>
          <w:szCs w:val="32"/>
          <w:highlight w:val="none"/>
          <w:lang w:eastAsia="zh-TW"/>
        </w:rPr>
      </w:pPr>
    </w:p>
    <w:p w14:paraId="152AE195">
      <w:pPr>
        <w:spacing w:line="578" w:lineRule="exact"/>
        <w:ind w:firstLine="640" w:firstLineChars="200"/>
        <w:rPr>
          <w:rFonts w:hint="eastAsia" w:ascii="仿宋_GB2312" w:hAnsi="仿宋_GB2312" w:eastAsia="仿宋_GB2312" w:cs="仿宋_GB2312"/>
          <w:sz w:val="32"/>
          <w:szCs w:val="32"/>
          <w:highlight w:val="none"/>
          <w:lang w:val="zh-CN" w:eastAsia="zh-TW"/>
        </w:rPr>
      </w:pP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eastAsia="zh-CN"/>
        </w:rPr>
        <w:t>盘州市2024年度第十批次城镇建设用地</w:t>
      </w:r>
      <w:r>
        <w:rPr>
          <w:rFonts w:hint="eastAsia" w:ascii="仿宋_GB2312" w:hAnsi="仿宋_GB2312" w:eastAsia="仿宋_GB2312" w:cs="仿宋_GB2312"/>
          <w:sz w:val="32"/>
          <w:szCs w:val="32"/>
          <w:highlight w:val="none"/>
        </w:rPr>
        <w:t>报件资料</w:t>
      </w:r>
    </w:p>
    <w:p w14:paraId="291CCBE0">
      <w:pPr>
        <w:pStyle w:val="13"/>
        <w:spacing w:line="578" w:lineRule="exact"/>
        <w:ind w:left="420" w:firstLine="640"/>
        <w:rPr>
          <w:rFonts w:hint="eastAsia" w:ascii="仿宋_GB2312" w:hAnsi="仿宋_GB2312" w:eastAsia="仿宋_GB2312" w:cs="仿宋_GB2312"/>
          <w:sz w:val="32"/>
          <w:szCs w:val="32"/>
          <w:highlight w:val="none"/>
          <w:lang w:eastAsia="zh-TW"/>
        </w:rPr>
      </w:pPr>
    </w:p>
    <w:p w14:paraId="50C6136F">
      <w:pPr>
        <w:spacing w:line="578" w:lineRule="exact"/>
        <w:ind w:left="1" w:firstLine="4480" w:firstLineChars="1400"/>
        <w:textAlignment w:val="bottom"/>
        <w:rPr>
          <w:rFonts w:hint="eastAsia" w:ascii="仿宋_GB2312" w:hAnsi="仿宋_GB2312" w:eastAsia="仿宋_GB2312" w:cs="仿宋_GB2312"/>
          <w:color w:val="000000"/>
          <w:kern w:val="0"/>
          <w:sz w:val="32"/>
          <w:szCs w:val="32"/>
          <w:highlight w:val="none"/>
          <w:lang w:eastAsia="zh-TW"/>
        </w:rPr>
      </w:pPr>
    </w:p>
    <w:p w14:paraId="5642B635">
      <w:pPr>
        <w:pStyle w:val="3"/>
        <w:rPr>
          <w:rFonts w:hint="eastAsia"/>
          <w:highlight w:val="none"/>
          <w:lang w:eastAsia="zh-TW"/>
        </w:rPr>
      </w:pPr>
    </w:p>
    <w:p w14:paraId="59E478F7">
      <w:pPr>
        <w:spacing w:line="578" w:lineRule="exact"/>
        <w:ind w:left="1" w:firstLine="4480" w:firstLineChars="1400"/>
        <w:jc w:val="center"/>
        <w:textAlignment w:val="bottom"/>
        <w:rPr>
          <w:rFonts w:hint="eastAsia" w:ascii="仿宋_GB2312" w:hAnsi="仿宋_GB2312" w:eastAsia="仿宋_GB2312" w:cs="仿宋_GB2312"/>
          <w:kern w:val="0"/>
          <w:sz w:val="32"/>
          <w:szCs w:val="32"/>
          <w:highlight w:val="none"/>
          <w:lang w:eastAsia="zh-TW"/>
        </w:rPr>
      </w:pPr>
      <w:r>
        <w:rPr>
          <w:rFonts w:hint="eastAsia" w:ascii="仿宋_GB2312" w:hAnsi="仿宋_GB2312" w:eastAsia="仿宋_GB2312" w:cs="仿宋_GB2312"/>
          <w:kern w:val="0"/>
          <w:sz w:val="32"/>
          <w:szCs w:val="32"/>
          <w:highlight w:val="none"/>
          <w:lang w:eastAsia="zh-TW"/>
        </w:rPr>
        <w:t>20</w:t>
      </w: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lang w:eastAsia="zh-TW"/>
        </w:rPr>
        <w:t>年</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lang w:eastAsia="zh-TW"/>
        </w:rPr>
        <w:t>月</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lang w:eastAsia="zh-TW"/>
        </w:rPr>
        <w:t>日</w:t>
      </w:r>
    </w:p>
    <w:p w14:paraId="2D018E4C">
      <w:pPr>
        <w:spacing w:line="578" w:lineRule="exact"/>
        <w:ind w:firstLine="640" w:firstLineChars="200"/>
        <w:rPr>
          <w:rFonts w:ascii="Times New Roman" w:hAnsi="Times New Roman" w:eastAsia="仿宋_GB2312" w:cs="仿宋_GB2312"/>
          <w:sz w:val="32"/>
          <w:szCs w:val="32"/>
          <w:highlight w:val="none"/>
        </w:rPr>
      </w:pPr>
    </w:p>
    <w:p w14:paraId="2FBCC909">
      <w:pPr>
        <w:numPr>
          <w:ilvl w:val="0"/>
          <w:numId w:val="2"/>
        </w:numPr>
        <w:spacing w:line="578" w:lineRule="exact"/>
        <w:ind w:left="1257" w:leftChars="294" w:hanging="640" w:hanging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附件由盘州市自然资源局径送六盘水市自然资源局；</w:t>
      </w:r>
    </w:p>
    <w:p w14:paraId="7879266C">
      <w:pPr>
        <w:numPr>
          <w:ilvl w:val="0"/>
          <w:numId w:val="2"/>
        </w:numPr>
        <w:spacing w:line="578" w:lineRule="exact"/>
        <w:ind w:left="1257" w:leftChars="294" w:hanging="640" w:hanging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联系人：刘  挺，联系电话：18084161406）</w:t>
      </w:r>
    </w:p>
    <w:p w14:paraId="5AC3FA5D">
      <w:pPr>
        <w:pStyle w:val="26"/>
        <w:widowControl w:val="0"/>
        <w:spacing w:line="578" w:lineRule="atLeast"/>
        <w:jc w:val="left"/>
        <w:rPr>
          <w:rFonts w:ascii="Times New Roman" w:hAnsi="Times New Roman" w:eastAsia="仿宋_GB2312" w:cs="仿宋_GB2312"/>
          <w:kern w:val="2"/>
          <w:sz w:val="32"/>
          <w:szCs w:val="32"/>
          <w:highlight w:val="none"/>
        </w:rPr>
      </w:pPr>
    </w:p>
    <w:p w14:paraId="6651EDD5">
      <w:pPr>
        <w:pStyle w:val="26"/>
        <w:keepNext w:val="0"/>
        <w:keepLines w:val="0"/>
        <w:pageBreakBefore w:val="0"/>
        <w:widowControl w:val="0"/>
        <w:kinsoku/>
        <w:wordWrap/>
        <w:overflowPunct/>
        <w:topLinePunct w:val="0"/>
        <w:autoSpaceDE/>
        <w:autoSpaceDN/>
        <w:bidi w:val="0"/>
        <w:adjustRightInd/>
        <w:snapToGrid/>
        <w:spacing w:line="578" w:lineRule="atLeast"/>
        <w:jc w:val="left"/>
        <w:textAlignment w:val="auto"/>
        <w:rPr>
          <w:rFonts w:hint="eastAsia" w:ascii="Times New Roman" w:hAnsi="Times New Roman" w:eastAsia="仿宋_GB2312" w:cs="仿宋_GB2312"/>
          <w:kern w:val="2"/>
          <w:sz w:val="32"/>
          <w:szCs w:val="32"/>
          <w:highlight w:val="none"/>
          <w:lang w:val="en-US" w:eastAsia="zh-CN" w:bidi="ar-SA"/>
        </w:rPr>
      </w:pPr>
    </w:p>
    <w:sectPr>
      <w:footerReference r:id="rId3" w:type="default"/>
      <w:footerReference r:id="rId4" w:type="even"/>
      <w:pgSz w:w="11906" w:h="16838"/>
      <w:pgMar w:top="2098" w:right="1474" w:bottom="1984" w:left="1587" w:header="851" w:footer="1985" w:gutter="0"/>
      <w:pgNumType w:fmt="decimal"/>
      <w:cols w:space="720" w:num="1"/>
      <w:docGrid w:type="lines" w:linePitch="34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FC354">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996950" cy="4673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996950" cy="4673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89218">
                          <w:pPr>
                            <w:pStyle w:val="7"/>
                            <w:ind w:left="210" w:leftChars="100" w:right="210" w:rightChars="100"/>
                            <w:rPr>
                              <w:rStyle w:val="17"/>
                              <w:rFonts w:hint="eastAsia"/>
                              <w:sz w:val="28"/>
                              <w:szCs w:val="28"/>
                            </w:rPr>
                          </w:pPr>
                          <w:r>
                            <w:rPr>
                              <w:rStyle w:val="17"/>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17"/>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17"/>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17"/>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75pt;height:36.8pt;width:78.5pt;mso-position-horizontal:outside;mso-position-horizontal-relative:margin;z-index:251659264;mso-width-relative:page;mso-height-relative:page;" filled="f" stroked="f" coordsize="21600,21600" o:gfxdata="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W4SRw0wAAAAUBAAAPAAAAAAAAAAEAIAAAACIAAABkcnMvZG93bnJldi54bWxQ&#10;SwECFAAUAAAACACHTuJAiDCxjzUCAABhBAAADgAAAAAAAAABACAAAAAiAQAAZHJzL2Uyb0RvYy54&#10;bWxQSwUGAAAAAAYABgBZAQAAyQUAAAAA&#10;">
              <v:fill on="f" focussize="0,0"/>
              <v:stroke on="f" weight="0.5pt"/>
              <v:imagedata o:title=""/>
              <o:lock v:ext="edit" aspectratio="f"/>
              <v:textbox inset="0mm,0mm,0mm,0mm">
                <w:txbxContent>
                  <w:p w14:paraId="6A389218">
                    <w:pPr>
                      <w:pStyle w:val="7"/>
                      <w:ind w:left="210" w:leftChars="100" w:right="210" w:rightChars="100"/>
                      <w:rPr>
                        <w:rStyle w:val="17"/>
                        <w:rFonts w:hint="eastAsia"/>
                        <w:sz w:val="28"/>
                        <w:szCs w:val="28"/>
                      </w:rPr>
                    </w:pPr>
                    <w:r>
                      <w:rPr>
                        <w:rStyle w:val="17"/>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17"/>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17"/>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17"/>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16A11">
    <w:pPr>
      <w:pStyle w:val="7"/>
      <w:framePr w:wrap="around" w:vAnchor="text" w:hAnchor="margin" w:xAlign="outside" w:y="1"/>
      <w:rPr>
        <w:rStyle w:val="17"/>
      </w:rPr>
    </w:pPr>
    <w:r>
      <w:fldChar w:fldCharType="begin"/>
    </w:r>
    <w:r>
      <w:rPr>
        <w:rStyle w:val="17"/>
      </w:rPr>
      <w:instrText xml:space="preserve">PAGE  </w:instrText>
    </w:r>
    <w:r>
      <w:fldChar w:fldCharType="end"/>
    </w:r>
  </w:p>
  <w:p w14:paraId="77CC816C">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20701"/>
    <w:multiLevelType w:val="singleLevel"/>
    <w:tmpl w:val="E9520701"/>
    <w:lvl w:ilvl="0" w:tentative="0">
      <w:start w:val="1"/>
      <w:numFmt w:val="chineseCounting"/>
      <w:suff w:val="nothing"/>
      <w:lvlText w:val="%1、"/>
      <w:lvlJc w:val="left"/>
      <w:rPr>
        <w:rFonts w:hint="eastAsia"/>
      </w:rPr>
    </w:lvl>
  </w:abstractNum>
  <w:abstractNum w:abstractNumId="1">
    <w:nsid w:val="33FBBBFE"/>
    <w:multiLevelType w:val="singleLevel"/>
    <w:tmpl w:val="33FBBBF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0"/>
  <w:bordersDoNotSurroundFooter w:val="0"/>
  <w:documentProtection w:enforcement="0"/>
  <w:defaultTabStop w:val="420"/>
  <w:hyphenationZone w:val="360"/>
  <w:drawingGridVerticalSpacing w:val="17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MWNiYTkyMmQ1ZDBiOGFlM2M0MDdiNDU0Y2ZhMWMifQ=="/>
    <w:docVar w:name="KSO_WPS_MARK_KEY" w:val="a5723055-61c6-4ad7-b657-830f91d7bb5e"/>
  </w:docVars>
  <w:rsids>
    <w:rsidRoot w:val="003D42D8"/>
    <w:rsid w:val="00000EDC"/>
    <w:rsid w:val="00000F63"/>
    <w:rsid w:val="00001FCD"/>
    <w:rsid w:val="00002134"/>
    <w:rsid w:val="00002A3E"/>
    <w:rsid w:val="000035B4"/>
    <w:rsid w:val="00005B83"/>
    <w:rsid w:val="00010840"/>
    <w:rsid w:val="00013D90"/>
    <w:rsid w:val="00017290"/>
    <w:rsid w:val="000174E0"/>
    <w:rsid w:val="00027611"/>
    <w:rsid w:val="00040CC6"/>
    <w:rsid w:val="00043C9C"/>
    <w:rsid w:val="00045DAB"/>
    <w:rsid w:val="00047688"/>
    <w:rsid w:val="000514AF"/>
    <w:rsid w:val="000526AA"/>
    <w:rsid w:val="00055673"/>
    <w:rsid w:val="000573A7"/>
    <w:rsid w:val="000627EC"/>
    <w:rsid w:val="00066BF2"/>
    <w:rsid w:val="000707D5"/>
    <w:rsid w:val="00071D7F"/>
    <w:rsid w:val="000745C5"/>
    <w:rsid w:val="000747EA"/>
    <w:rsid w:val="00074ADA"/>
    <w:rsid w:val="00074D48"/>
    <w:rsid w:val="00075513"/>
    <w:rsid w:val="00084E22"/>
    <w:rsid w:val="00087560"/>
    <w:rsid w:val="000931A7"/>
    <w:rsid w:val="00096FBD"/>
    <w:rsid w:val="000A2272"/>
    <w:rsid w:val="000A2700"/>
    <w:rsid w:val="000B0D0D"/>
    <w:rsid w:val="000B4636"/>
    <w:rsid w:val="000B4D0C"/>
    <w:rsid w:val="000B4E3D"/>
    <w:rsid w:val="000B5681"/>
    <w:rsid w:val="000B6EA4"/>
    <w:rsid w:val="000C1E45"/>
    <w:rsid w:val="000C7DD6"/>
    <w:rsid w:val="000D1591"/>
    <w:rsid w:val="000D32A6"/>
    <w:rsid w:val="000D6177"/>
    <w:rsid w:val="000D6EAD"/>
    <w:rsid w:val="000E164A"/>
    <w:rsid w:val="000E3E36"/>
    <w:rsid w:val="000F0C8F"/>
    <w:rsid w:val="000F0F90"/>
    <w:rsid w:val="000F19A9"/>
    <w:rsid w:val="000F1D70"/>
    <w:rsid w:val="000F6115"/>
    <w:rsid w:val="001000F5"/>
    <w:rsid w:val="00103918"/>
    <w:rsid w:val="00105C66"/>
    <w:rsid w:val="001074F9"/>
    <w:rsid w:val="00111217"/>
    <w:rsid w:val="00115583"/>
    <w:rsid w:val="00123A86"/>
    <w:rsid w:val="00124E9C"/>
    <w:rsid w:val="00124FD9"/>
    <w:rsid w:val="00130B59"/>
    <w:rsid w:val="001322F9"/>
    <w:rsid w:val="00133FCD"/>
    <w:rsid w:val="00137600"/>
    <w:rsid w:val="00141353"/>
    <w:rsid w:val="00146AC1"/>
    <w:rsid w:val="00152653"/>
    <w:rsid w:val="00155BAD"/>
    <w:rsid w:val="001574A5"/>
    <w:rsid w:val="00160874"/>
    <w:rsid w:val="00160E91"/>
    <w:rsid w:val="00161E07"/>
    <w:rsid w:val="00161FF7"/>
    <w:rsid w:val="00162382"/>
    <w:rsid w:val="001624A8"/>
    <w:rsid w:val="00164520"/>
    <w:rsid w:val="00165E9B"/>
    <w:rsid w:val="001662E1"/>
    <w:rsid w:val="00166AF2"/>
    <w:rsid w:val="001672E2"/>
    <w:rsid w:val="0018123B"/>
    <w:rsid w:val="001827BE"/>
    <w:rsid w:val="00184AF3"/>
    <w:rsid w:val="00193BFA"/>
    <w:rsid w:val="001A2095"/>
    <w:rsid w:val="001A6315"/>
    <w:rsid w:val="001A6DDE"/>
    <w:rsid w:val="001A6FE4"/>
    <w:rsid w:val="001A71ED"/>
    <w:rsid w:val="001B16B2"/>
    <w:rsid w:val="001B4ED1"/>
    <w:rsid w:val="001C1821"/>
    <w:rsid w:val="001C2A36"/>
    <w:rsid w:val="001C2EE6"/>
    <w:rsid w:val="001C5863"/>
    <w:rsid w:val="001C5890"/>
    <w:rsid w:val="001C7EE1"/>
    <w:rsid w:val="001D00C7"/>
    <w:rsid w:val="001E6A4E"/>
    <w:rsid w:val="001E70CD"/>
    <w:rsid w:val="001F482E"/>
    <w:rsid w:val="00202F9C"/>
    <w:rsid w:val="002079F3"/>
    <w:rsid w:val="00211111"/>
    <w:rsid w:val="002115A7"/>
    <w:rsid w:val="0021645B"/>
    <w:rsid w:val="00220487"/>
    <w:rsid w:val="00220C6C"/>
    <w:rsid w:val="00220C7F"/>
    <w:rsid w:val="00230C42"/>
    <w:rsid w:val="00234DFE"/>
    <w:rsid w:val="002356C0"/>
    <w:rsid w:val="0023730F"/>
    <w:rsid w:val="002378AF"/>
    <w:rsid w:val="00244C93"/>
    <w:rsid w:val="00250ACB"/>
    <w:rsid w:val="002525D9"/>
    <w:rsid w:val="00257905"/>
    <w:rsid w:val="00257DE3"/>
    <w:rsid w:val="002610AA"/>
    <w:rsid w:val="002611B8"/>
    <w:rsid w:val="002632EF"/>
    <w:rsid w:val="0027049D"/>
    <w:rsid w:val="00286B94"/>
    <w:rsid w:val="00292FB2"/>
    <w:rsid w:val="00293283"/>
    <w:rsid w:val="002968F4"/>
    <w:rsid w:val="002A31C6"/>
    <w:rsid w:val="002A6993"/>
    <w:rsid w:val="002B110F"/>
    <w:rsid w:val="002B2F5A"/>
    <w:rsid w:val="002B3CFF"/>
    <w:rsid w:val="002B6322"/>
    <w:rsid w:val="002C0504"/>
    <w:rsid w:val="002C4B60"/>
    <w:rsid w:val="002D07E0"/>
    <w:rsid w:val="002D2284"/>
    <w:rsid w:val="002E3B3A"/>
    <w:rsid w:val="002E3B92"/>
    <w:rsid w:val="002E5C53"/>
    <w:rsid w:val="002F4B3C"/>
    <w:rsid w:val="003012A1"/>
    <w:rsid w:val="00312B4F"/>
    <w:rsid w:val="003169E5"/>
    <w:rsid w:val="003211CE"/>
    <w:rsid w:val="0032288C"/>
    <w:rsid w:val="00324BDC"/>
    <w:rsid w:val="00326A2C"/>
    <w:rsid w:val="0032742B"/>
    <w:rsid w:val="0033114E"/>
    <w:rsid w:val="00331536"/>
    <w:rsid w:val="00336390"/>
    <w:rsid w:val="00336647"/>
    <w:rsid w:val="00337140"/>
    <w:rsid w:val="00337620"/>
    <w:rsid w:val="00344857"/>
    <w:rsid w:val="003454BA"/>
    <w:rsid w:val="0034557B"/>
    <w:rsid w:val="0034663E"/>
    <w:rsid w:val="00347528"/>
    <w:rsid w:val="00347FA6"/>
    <w:rsid w:val="00350FF2"/>
    <w:rsid w:val="003521E4"/>
    <w:rsid w:val="00353281"/>
    <w:rsid w:val="00353EC4"/>
    <w:rsid w:val="0036597B"/>
    <w:rsid w:val="0036661E"/>
    <w:rsid w:val="00366A03"/>
    <w:rsid w:val="00366C12"/>
    <w:rsid w:val="00367A07"/>
    <w:rsid w:val="00371216"/>
    <w:rsid w:val="003808A5"/>
    <w:rsid w:val="003810BA"/>
    <w:rsid w:val="00390608"/>
    <w:rsid w:val="00395EBE"/>
    <w:rsid w:val="003A1E3B"/>
    <w:rsid w:val="003A319C"/>
    <w:rsid w:val="003A5C99"/>
    <w:rsid w:val="003C0292"/>
    <w:rsid w:val="003C0C30"/>
    <w:rsid w:val="003C113F"/>
    <w:rsid w:val="003C129A"/>
    <w:rsid w:val="003C1EF4"/>
    <w:rsid w:val="003C7D2D"/>
    <w:rsid w:val="003D2C05"/>
    <w:rsid w:val="003D42D8"/>
    <w:rsid w:val="003E65BB"/>
    <w:rsid w:val="003F1C2F"/>
    <w:rsid w:val="004011DD"/>
    <w:rsid w:val="004127A0"/>
    <w:rsid w:val="00413266"/>
    <w:rsid w:val="00414C96"/>
    <w:rsid w:val="00423440"/>
    <w:rsid w:val="004271E7"/>
    <w:rsid w:val="00437C0B"/>
    <w:rsid w:val="004411FE"/>
    <w:rsid w:val="00442F19"/>
    <w:rsid w:val="00443B3F"/>
    <w:rsid w:val="00445743"/>
    <w:rsid w:val="004624F0"/>
    <w:rsid w:val="00465698"/>
    <w:rsid w:val="0046588A"/>
    <w:rsid w:val="004734A4"/>
    <w:rsid w:val="0048115B"/>
    <w:rsid w:val="004857AC"/>
    <w:rsid w:val="00486179"/>
    <w:rsid w:val="004867EC"/>
    <w:rsid w:val="0048734C"/>
    <w:rsid w:val="00491F45"/>
    <w:rsid w:val="00493BBD"/>
    <w:rsid w:val="00493CC6"/>
    <w:rsid w:val="00497854"/>
    <w:rsid w:val="004A2184"/>
    <w:rsid w:val="004B071C"/>
    <w:rsid w:val="004B0994"/>
    <w:rsid w:val="004B75D9"/>
    <w:rsid w:val="004C119C"/>
    <w:rsid w:val="004D15DE"/>
    <w:rsid w:val="004E0452"/>
    <w:rsid w:val="004E1836"/>
    <w:rsid w:val="004E2AB0"/>
    <w:rsid w:val="004F0E9C"/>
    <w:rsid w:val="004F4E62"/>
    <w:rsid w:val="004F5D87"/>
    <w:rsid w:val="004F647A"/>
    <w:rsid w:val="004F712A"/>
    <w:rsid w:val="004F7652"/>
    <w:rsid w:val="0050156F"/>
    <w:rsid w:val="00505A98"/>
    <w:rsid w:val="0050686D"/>
    <w:rsid w:val="00506EE3"/>
    <w:rsid w:val="00510697"/>
    <w:rsid w:val="00516682"/>
    <w:rsid w:val="00517385"/>
    <w:rsid w:val="00517C6C"/>
    <w:rsid w:val="00521CC8"/>
    <w:rsid w:val="00523C51"/>
    <w:rsid w:val="0053138B"/>
    <w:rsid w:val="0053220D"/>
    <w:rsid w:val="00534AC3"/>
    <w:rsid w:val="00535BC6"/>
    <w:rsid w:val="0054303D"/>
    <w:rsid w:val="00545B75"/>
    <w:rsid w:val="005568F6"/>
    <w:rsid w:val="00560648"/>
    <w:rsid w:val="005611DF"/>
    <w:rsid w:val="00561665"/>
    <w:rsid w:val="00566D98"/>
    <w:rsid w:val="00572F3D"/>
    <w:rsid w:val="00576E5C"/>
    <w:rsid w:val="00596594"/>
    <w:rsid w:val="005B3997"/>
    <w:rsid w:val="005B5120"/>
    <w:rsid w:val="005B78C6"/>
    <w:rsid w:val="005D403B"/>
    <w:rsid w:val="005D4ACF"/>
    <w:rsid w:val="005D6345"/>
    <w:rsid w:val="005E49F8"/>
    <w:rsid w:val="00600C3E"/>
    <w:rsid w:val="00610625"/>
    <w:rsid w:val="0061136A"/>
    <w:rsid w:val="00622693"/>
    <w:rsid w:val="00623B05"/>
    <w:rsid w:val="00630BBB"/>
    <w:rsid w:val="00636A59"/>
    <w:rsid w:val="006410DD"/>
    <w:rsid w:val="0064146C"/>
    <w:rsid w:val="00643566"/>
    <w:rsid w:val="006463A4"/>
    <w:rsid w:val="00646856"/>
    <w:rsid w:val="0064764B"/>
    <w:rsid w:val="0065284C"/>
    <w:rsid w:val="00656605"/>
    <w:rsid w:val="006641A5"/>
    <w:rsid w:val="006729B7"/>
    <w:rsid w:val="006776B3"/>
    <w:rsid w:val="006800E9"/>
    <w:rsid w:val="00680FDA"/>
    <w:rsid w:val="00684491"/>
    <w:rsid w:val="00696031"/>
    <w:rsid w:val="00697474"/>
    <w:rsid w:val="006A3649"/>
    <w:rsid w:val="006A381B"/>
    <w:rsid w:val="006A3F78"/>
    <w:rsid w:val="006A5F90"/>
    <w:rsid w:val="006A62DE"/>
    <w:rsid w:val="006A6612"/>
    <w:rsid w:val="006A7881"/>
    <w:rsid w:val="006C7DDC"/>
    <w:rsid w:val="006E5C44"/>
    <w:rsid w:val="006E6BE0"/>
    <w:rsid w:val="006F2264"/>
    <w:rsid w:val="006F2FD9"/>
    <w:rsid w:val="006F3FBB"/>
    <w:rsid w:val="007015FE"/>
    <w:rsid w:val="00707513"/>
    <w:rsid w:val="00710A3A"/>
    <w:rsid w:val="00717F23"/>
    <w:rsid w:val="0072276E"/>
    <w:rsid w:val="00724EB3"/>
    <w:rsid w:val="007362A9"/>
    <w:rsid w:val="00743C54"/>
    <w:rsid w:val="00745DA0"/>
    <w:rsid w:val="0075157F"/>
    <w:rsid w:val="00752F35"/>
    <w:rsid w:val="00753B10"/>
    <w:rsid w:val="00754625"/>
    <w:rsid w:val="0075617A"/>
    <w:rsid w:val="007574FD"/>
    <w:rsid w:val="00761EDC"/>
    <w:rsid w:val="00770FB6"/>
    <w:rsid w:val="00773D86"/>
    <w:rsid w:val="00780B52"/>
    <w:rsid w:val="007833AA"/>
    <w:rsid w:val="00792984"/>
    <w:rsid w:val="00793E24"/>
    <w:rsid w:val="007A397A"/>
    <w:rsid w:val="007A44FA"/>
    <w:rsid w:val="007B0003"/>
    <w:rsid w:val="007B023D"/>
    <w:rsid w:val="007B0AE2"/>
    <w:rsid w:val="007B0D58"/>
    <w:rsid w:val="007D17BD"/>
    <w:rsid w:val="007E0864"/>
    <w:rsid w:val="007F7164"/>
    <w:rsid w:val="008003DB"/>
    <w:rsid w:val="0080413B"/>
    <w:rsid w:val="008042AA"/>
    <w:rsid w:val="00805D64"/>
    <w:rsid w:val="00807DBB"/>
    <w:rsid w:val="0081149C"/>
    <w:rsid w:val="00812CCC"/>
    <w:rsid w:val="00816A71"/>
    <w:rsid w:val="00821F70"/>
    <w:rsid w:val="0082422A"/>
    <w:rsid w:val="00831E1E"/>
    <w:rsid w:val="0084037D"/>
    <w:rsid w:val="008405A7"/>
    <w:rsid w:val="00840B05"/>
    <w:rsid w:val="008419C2"/>
    <w:rsid w:val="00842FB2"/>
    <w:rsid w:val="008444A8"/>
    <w:rsid w:val="0084781F"/>
    <w:rsid w:val="0085373F"/>
    <w:rsid w:val="00856762"/>
    <w:rsid w:val="0086103D"/>
    <w:rsid w:val="008619F4"/>
    <w:rsid w:val="008630DF"/>
    <w:rsid w:val="00865136"/>
    <w:rsid w:val="00876751"/>
    <w:rsid w:val="0088568F"/>
    <w:rsid w:val="00892DC5"/>
    <w:rsid w:val="008953BC"/>
    <w:rsid w:val="00895DAF"/>
    <w:rsid w:val="008A0655"/>
    <w:rsid w:val="008C229F"/>
    <w:rsid w:val="008C475B"/>
    <w:rsid w:val="008C6B48"/>
    <w:rsid w:val="008C7124"/>
    <w:rsid w:val="008C73D0"/>
    <w:rsid w:val="008D0EE3"/>
    <w:rsid w:val="008D6297"/>
    <w:rsid w:val="008D6BDA"/>
    <w:rsid w:val="008E5F29"/>
    <w:rsid w:val="008F0DD7"/>
    <w:rsid w:val="008F70CF"/>
    <w:rsid w:val="009019AE"/>
    <w:rsid w:val="00906891"/>
    <w:rsid w:val="009124DE"/>
    <w:rsid w:val="00912CB0"/>
    <w:rsid w:val="00914A72"/>
    <w:rsid w:val="0091588E"/>
    <w:rsid w:val="00917E07"/>
    <w:rsid w:val="009244BB"/>
    <w:rsid w:val="00930CFB"/>
    <w:rsid w:val="00933BD5"/>
    <w:rsid w:val="00936FF5"/>
    <w:rsid w:val="009466FD"/>
    <w:rsid w:val="009471BD"/>
    <w:rsid w:val="009539EC"/>
    <w:rsid w:val="00960AF5"/>
    <w:rsid w:val="00974A74"/>
    <w:rsid w:val="009809CB"/>
    <w:rsid w:val="00983D43"/>
    <w:rsid w:val="00986026"/>
    <w:rsid w:val="00995B3C"/>
    <w:rsid w:val="009A1D0D"/>
    <w:rsid w:val="009A25E5"/>
    <w:rsid w:val="009A2E49"/>
    <w:rsid w:val="009A37DC"/>
    <w:rsid w:val="009A56F4"/>
    <w:rsid w:val="009A62C1"/>
    <w:rsid w:val="009B0BC8"/>
    <w:rsid w:val="009C50CC"/>
    <w:rsid w:val="009D023F"/>
    <w:rsid w:val="009D0F88"/>
    <w:rsid w:val="009D1817"/>
    <w:rsid w:val="009D26F8"/>
    <w:rsid w:val="009D58B3"/>
    <w:rsid w:val="009D601F"/>
    <w:rsid w:val="009D78A5"/>
    <w:rsid w:val="009F648E"/>
    <w:rsid w:val="009F6B6D"/>
    <w:rsid w:val="009F7794"/>
    <w:rsid w:val="00A0042E"/>
    <w:rsid w:val="00A02F05"/>
    <w:rsid w:val="00A05396"/>
    <w:rsid w:val="00A0589E"/>
    <w:rsid w:val="00A07D36"/>
    <w:rsid w:val="00A1238A"/>
    <w:rsid w:val="00A1277E"/>
    <w:rsid w:val="00A21E67"/>
    <w:rsid w:val="00A2696D"/>
    <w:rsid w:val="00A306C3"/>
    <w:rsid w:val="00A30D46"/>
    <w:rsid w:val="00A37305"/>
    <w:rsid w:val="00A40A3A"/>
    <w:rsid w:val="00A41240"/>
    <w:rsid w:val="00A47689"/>
    <w:rsid w:val="00A531FD"/>
    <w:rsid w:val="00A5624E"/>
    <w:rsid w:val="00A60480"/>
    <w:rsid w:val="00A61A02"/>
    <w:rsid w:val="00A659D3"/>
    <w:rsid w:val="00A663BB"/>
    <w:rsid w:val="00A664FC"/>
    <w:rsid w:val="00A7101E"/>
    <w:rsid w:val="00A729E5"/>
    <w:rsid w:val="00A72B87"/>
    <w:rsid w:val="00A756A9"/>
    <w:rsid w:val="00A75BF5"/>
    <w:rsid w:val="00A77E0E"/>
    <w:rsid w:val="00A93042"/>
    <w:rsid w:val="00A94CDB"/>
    <w:rsid w:val="00AA5BD8"/>
    <w:rsid w:val="00AA77F1"/>
    <w:rsid w:val="00AA7AF4"/>
    <w:rsid w:val="00AA7CD1"/>
    <w:rsid w:val="00AB38BE"/>
    <w:rsid w:val="00AB6F1E"/>
    <w:rsid w:val="00AC76CA"/>
    <w:rsid w:val="00AD423F"/>
    <w:rsid w:val="00AE097D"/>
    <w:rsid w:val="00AE0A97"/>
    <w:rsid w:val="00AE1C16"/>
    <w:rsid w:val="00AE6442"/>
    <w:rsid w:val="00AF2C73"/>
    <w:rsid w:val="00AF6A35"/>
    <w:rsid w:val="00AF6FA3"/>
    <w:rsid w:val="00B02D02"/>
    <w:rsid w:val="00B10D02"/>
    <w:rsid w:val="00B156B1"/>
    <w:rsid w:val="00B162AE"/>
    <w:rsid w:val="00B2144C"/>
    <w:rsid w:val="00B21B73"/>
    <w:rsid w:val="00B27DA7"/>
    <w:rsid w:val="00B30460"/>
    <w:rsid w:val="00B37E84"/>
    <w:rsid w:val="00B40C6C"/>
    <w:rsid w:val="00B44E84"/>
    <w:rsid w:val="00B47E33"/>
    <w:rsid w:val="00B5148B"/>
    <w:rsid w:val="00B533C5"/>
    <w:rsid w:val="00B60160"/>
    <w:rsid w:val="00B604BF"/>
    <w:rsid w:val="00B617F3"/>
    <w:rsid w:val="00B630AF"/>
    <w:rsid w:val="00B72F14"/>
    <w:rsid w:val="00B73781"/>
    <w:rsid w:val="00B738EF"/>
    <w:rsid w:val="00B84F28"/>
    <w:rsid w:val="00B85AEA"/>
    <w:rsid w:val="00B91DF4"/>
    <w:rsid w:val="00B95446"/>
    <w:rsid w:val="00B95C9D"/>
    <w:rsid w:val="00BA12EC"/>
    <w:rsid w:val="00BA13C0"/>
    <w:rsid w:val="00BA3758"/>
    <w:rsid w:val="00BA631C"/>
    <w:rsid w:val="00BA6D0B"/>
    <w:rsid w:val="00BB1452"/>
    <w:rsid w:val="00BB17C1"/>
    <w:rsid w:val="00BB2DED"/>
    <w:rsid w:val="00BB34A2"/>
    <w:rsid w:val="00BB41ED"/>
    <w:rsid w:val="00BB54E1"/>
    <w:rsid w:val="00BC6825"/>
    <w:rsid w:val="00BC6BDF"/>
    <w:rsid w:val="00BD0F3F"/>
    <w:rsid w:val="00BD3A37"/>
    <w:rsid w:val="00BF3B5C"/>
    <w:rsid w:val="00BF620C"/>
    <w:rsid w:val="00C00CB9"/>
    <w:rsid w:val="00C149B2"/>
    <w:rsid w:val="00C149E9"/>
    <w:rsid w:val="00C231A0"/>
    <w:rsid w:val="00C30909"/>
    <w:rsid w:val="00C33636"/>
    <w:rsid w:val="00C34C8B"/>
    <w:rsid w:val="00C45E77"/>
    <w:rsid w:val="00C4612E"/>
    <w:rsid w:val="00C46BA3"/>
    <w:rsid w:val="00C555AD"/>
    <w:rsid w:val="00C616CC"/>
    <w:rsid w:val="00C621A8"/>
    <w:rsid w:val="00C655D8"/>
    <w:rsid w:val="00C712DD"/>
    <w:rsid w:val="00C734D1"/>
    <w:rsid w:val="00C954E1"/>
    <w:rsid w:val="00C97282"/>
    <w:rsid w:val="00C97802"/>
    <w:rsid w:val="00CA023D"/>
    <w:rsid w:val="00CA435C"/>
    <w:rsid w:val="00CB324F"/>
    <w:rsid w:val="00CB3CA8"/>
    <w:rsid w:val="00CB67CC"/>
    <w:rsid w:val="00CC28AA"/>
    <w:rsid w:val="00CD041D"/>
    <w:rsid w:val="00CE32E7"/>
    <w:rsid w:val="00CE3FA2"/>
    <w:rsid w:val="00CF3CA8"/>
    <w:rsid w:val="00CF403F"/>
    <w:rsid w:val="00D0164B"/>
    <w:rsid w:val="00D02D9F"/>
    <w:rsid w:val="00D22B27"/>
    <w:rsid w:val="00D2474D"/>
    <w:rsid w:val="00D2476E"/>
    <w:rsid w:val="00D26ECA"/>
    <w:rsid w:val="00D37866"/>
    <w:rsid w:val="00D5634C"/>
    <w:rsid w:val="00D608AC"/>
    <w:rsid w:val="00D643C9"/>
    <w:rsid w:val="00D655CD"/>
    <w:rsid w:val="00D65E92"/>
    <w:rsid w:val="00D6693D"/>
    <w:rsid w:val="00D66AC3"/>
    <w:rsid w:val="00D70516"/>
    <w:rsid w:val="00D710A9"/>
    <w:rsid w:val="00D71521"/>
    <w:rsid w:val="00D83852"/>
    <w:rsid w:val="00D86372"/>
    <w:rsid w:val="00D901B3"/>
    <w:rsid w:val="00D977F2"/>
    <w:rsid w:val="00DA13C3"/>
    <w:rsid w:val="00DA237C"/>
    <w:rsid w:val="00DA42CB"/>
    <w:rsid w:val="00DA595C"/>
    <w:rsid w:val="00DA6CE6"/>
    <w:rsid w:val="00DB19B4"/>
    <w:rsid w:val="00DB24F5"/>
    <w:rsid w:val="00DB3C61"/>
    <w:rsid w:val="00DB54B6"/>
    <w:rsid w:val="00DB6042"/>
    <w:rsid w:val="00DB7772"/>
    <w:rsid w:val="00DC0D92"/>
    <w:rsid w:val="00DC28E3"/>
    <w:rsid w:val="00DC5FEB"/>
    <w:rsid w:val="00DC6E76"/>
    <w:rsid w:val="00DD7DA0"/>
    <w:rsid w:val="00DE1090"/>
    <w:rsid w:val="00DE49A4"/>
    <w:rsid w:val="00DF7080"/>
    <w:rsid w:val="00E01FD7"/>
    <w:rsid w:val="00E04064"/>
    <w:rsid w:val="00E10C94"/>
    <w:rsid w:val="00E129A8"/>
    <w:rsid w:val="00E27C38"/>
    <w:rsid w:val="00E30F06"/>
    <w:rsid w:val="00E33D24"/>
    <w:rsid w:val="00E352DF"/>
    <w:rsid w:val="00E3631E"/>
    <w:rsid w:val="00E375EB"/>
    <w:rsid w:val="00E50114"/>
    <w:rsid w:val="00E569DD"/>
    <w:rsid w:val="00E56A7B"/>
    <w:rsid w:val="00E65B02"/>
    <w:rsid w:val="00E7343A"/>
    <w:rsid w:val="00E764DC"/>
    <w:rsid w:val="00E807B4"/>
    <w:rsid w:val="00E81E86"/>
    <w:rsid w:val="00E83C24"/>
    <w:rsid w:val="00E85759"/>
    <w:rsid w:val="00E85BD0"/>
    <w:rsid w:val="00E9223E"/>
    <w:rsid w:val="00E92939"/>
    <w:rsid w:val="00E94943"/>
    <w:rsid w:val="00EA5146"/>
    <w:rsid w:val="00EA65DE"/>
    <w:rsid w:val="00EA6AE5"/>
    <w:rsid w:val="00EA7F87"/>
    <w:rsid w:val="00EB5CD7"/>
    <w:rsid w:val="00EC0BF7"/>
    <w:rsid w:val="00EC6288"/>
    <w:rsid w:val="00EC7D71"/>
    <w:rsid w:val="00ED0D9F"/>
    <w:rsid w:val="00ED0F21"/>
    <w:rsid w:val="00ED23D0"/>
    <w:rsid w:val="00ED3145"/>
    <w:rsid w:val="00EE08E4"/>
    <w:rsid w:val="00EE1ED3"/>
    <w:rsid w:val="00EE57A8"/>
    <w:rsid w:val="00EE74B7"/>
    <w:rsid w:val="00EF19A0"/>
    <w:rsid w:val="00F009D7"/>
    <w:rsid w:val="00F067FA"/>
    <w:rsid w:val="00F07952"/>
    <w:rsid w:val="00F07C22"/>
    <w:rsid w:val="00F10AF6"/>
    <w:rsid w:val="00F13EE8"/>
    <w:rsid w:val="00F22A9F"/>
    <w:rsid w:val="00F23403"/>
    <w:rsid w:val="00F242F1"/>
    <w:rsid w:val="00F245C2"/>
    <w:rsid w:val="00F25B40"/>
    <w:rsid w:val="00F26697"/>
    <w:rsid w:val="00F34F5C"/>
    <w:rsid w:val="00F37421"/>
    <w:rsid w:val="00F40897"/>
    <w:rsid w:val="00F52F1B"/>
    <w:rsid w:val="00F56B8A"/>
    <w:rsid w:val="00F56DF0"/>
    <w:rsid w:val="00F6505C"/>
    <w:rsid w:val="00F65068"/>
    <w:rsid w:val="00F66463"/>
    <w:rsid w:val="00F753BD"/>
    <w:rsid w:val="00F75C74"/>
    <w:rsid w:val="00F77A76"/>
    <w:rsid w:val="00F807BD"/>
    <w:rsid w:val="00F80816"/>
    <w:rsid w:val="00F86115"/>
    <w:rsid w:val="00F91BE9"/>
    <w:rsid w:val="00F97A63"/>
    <w:rsid w:val="00FA1598"/>
    <w:rsid w:val="00FA696E"/>
    <w:rsid w:val="00FC2556"/>
    <w:rsid w:val="00FC274F"/>
    <w:rsid w:val="00FC5627"/>
    <w:rsid w:val="00FD1360"/>
    <w:rsid w:val="00FD25BA"/>
    <w:rsid w:val="00FD3445"/>
    <w:rsid w:val="00FD6BBC"/>
    <w:rsid w:val="00FE63D0"/>
    <w:rsid w:val="00FE6710"/>
    <w:rsid w:val="00FF1F1B"/>
    <w:rsid w:val="00FF4F24"/>
    <w:rsid w:val="010827C0"/>
    <w:rsid w:val="0132224A"/>
    <w:rsid w:val="013B3561"/>
    <w:rsid w:val="014C7F1A"/>
    <w:rsid w:val="01A6040E"/>
    <w:rsid w:val="01C548E4"/>
    <w:rsid w:val="0218720A"/>
    <w:rsid w:val="023F2212"/>
    <w:rsid w:val="026442D2"/>
    <w:rsid w:val="04240EED"/>
    <w:rsid w:val="043B4C5B"/>
    <w:rsid w:val="043D3713"/>
    <w:rsid w:val="04694133"/>
    <w:rsid w:val="046B245F"/>
    <w:rsid w:val="04AE6CD2"/>
    <w:rsid w:val="04DF55D6"/>
    <w:rsid w:val="051C0E94"/>
    <w:rsid w:val="053973EC"/>
    <w:rsid w:val="05517045"/>
    <w:rsid w:val="05F6352F"/>
    <w:rsid w:val="066F644C"/>
    <w:rsid w:val="068942CF"/>
    <w:rsid w:val="06F07871"/>
    <w:rsid w:val="071F3A56"/>
    <w:rsid w:val="07324C84"/>
    <w:rsid w:val="074E3773"/>
    <w:rsid w:val="077F61BF"/>
    <w:rsid w:val="08050E5D"/>
    <w:rsid w:val="08300495"/>
    <w:rsid w:val="08484B64"/>
    <w:rsid w:val="0865737C"/>
    <w:rsid w:val="08A26BE5"/>
    <w:rsid w:val="08E32408"/>
    <w:rsid w:val="08F11DA4"/>
    <w:rsid w:val="091066B6"/>
    <w:rsid w:val="09195D56"/>
    <w:rsid w:val="094D0951"/>
    <w:rsid w:val="09B104CA"/>
    <w:rsid w:val="09E51E01"/>
    <w:rsid w:val="0A193C90"/>
    <w:rsid w:val="0A3F5BDD"/>
    <w:rsid w:val="0A7A1157"/>
    <w:rsid w:val="0A8C7FBE"/>
    <w:rsid w:val="0A910C33"/>
    <w:rsid w:val="0AC4530F"/>
    <w:rsid w:val="0B0C10FF"/>
    <w:rsid w:val="0B265C54"/>
    <w:rsid w:val="0B6E5916"/>
    <w:rsid w:val="0B986C60"/>
    <w:rsid w:val="0BA16459"/>
    <w:rsid w:val="0BED6A44"/>
    <w:rsid w:val="0C075553"/>
    <w:rsid w:val="0C177D5B"/>
    <w:rsid w:val="0C2A38B4"/>
    <w:rsid w:val="0C6A6845"/>
    <w:rsid w:val="0C8727C6"/>
    <w:rsid w:val="0CB868CF"/>
    <w:rsid w:val="0CF14812"/>
    <w:rsid w:val="0D354C96"/>
    <w:rsid w:val="0D403D50"/>
    <w:rsid w:val="0E02650A"/>
    <w:rsid w:val="0E253B0E"/>
    <w:rsid w:val="0E387AD5"/>
    <w:rsid w:val="0E7106D6"/>
    <w:rsid w:val="0EB546C3"/>
    <w:rsid w:val="0ECE71B2"/>
    <w:rsid w:val="0F767A04"/>
    <w:rsid w:val="0F8C280E"/>
    <w:rsid w:val="0FB657C7"/>
    <w:rsid w:val="10264A11"/>
    <w:rsid w:val="102F1A09"/>
    <w:rsid w:val="10634FA9"/>
    <w:rsid w:val="106612E8"/>
    <w:rsid w:val="109A503E"/>
    <w:rsid w:val="109D6F15"/>
    <w:rsid w:val="10AE35A2"/>
    <w:rsid w:val="10DE52EC"/>
    <w:rsid w:val="10F67000"/>
    <w:rsid w:val="11453BC5"/>
    <w:rsid w:val="114A0BEB"/>
    <w:rsid w:val="119105B0"/>
    <w:rsid w:val="11A42091"/>
    <w:rsid w:val="11F805F4"/>
    <w:rsid w:val="121037B1"/>
    <w:rsid w:val="12384280"/>
    <w:rsid w:val="125A6BF4"/>
    <w:rsid w:val="125C1A7D"/>
    <w:rsid w:val="128E52CD"/>
    <w:rsid w:val="12C0745B"/>
    <w:rsid w:val="13054DB2"/>
    <w:rsid w:val="13445FAB"/>
    <w:rsid w:val="136B076B"/>
    <w:rsid w:val="13792B8A"/>
    <w:rsid w:val="13BA746A"/>
    <w:rsid w:val="13C54541"/>
    <w:rsid w:val="13C94031"/>
    <w:rsid w:val="142D0439"/>
    <w:rsid w:val="14CA29C4"/>
    <w:rsid w:val="14F73141"/>
    <w:rsid w:val="152176BC"/>
    <w:rsid w:val="156A53A0"/>
    <w:rsid w:val="15860384"/>
    <w:rsid w:val="1599061D"/>
    <w:rsid w:val="16016CAC"/>
    <w:rsid w:val="161C7110"/>
    <w:rsid w:val="164D719B"/>
    <w:rsid w:val="165878EE"/>
    <w:rsid w:val="16AD19E8"/>
    <w:rsid w:val="16D056D6"/>
    <w:rsid w:val="16D27985"/>
    <w:rsid w:val="1773347D"/>
    <w:rsid w:val="17DA0D2E"/>
    <w:rsid w:val="17FD4F71"/>
    <w:rsid w:val="186A486A"/>
    <w:rsid w:val="1892449D"/>
    <w:rsid w:val="194B2A40"/>
    <w:rsid w:val="198C2490"/>
    <w:rsid w:val="1A5E57D6"/>
    <w:rsid w:val="1AA475A6"/>
    <w:rsid w:val="1AA51FAD"/>
    <w:rsid w:val="1AF13AC6"/>
    <w:rsid w:val="1AF5570C"/>
    <w:rsid w:val="1B3316DE"/>
    <w:rsid w:val="1B636429"/>
    <w:rsid w:val="1B66268D"/>
    <w:rsid w:val="1BA52E0D"/>
    <w:rsid w:val="1BA95A7C"/>
    <w:rsid w:val="1BB50257"/>
    <w:rsid w:val="1C33157E"/>
    <w:rsid w:val="1C5446B4"/>
    <w:rsid w:val="1C8054A9"/>
    <w:rsid w:val="1C88063D"/>
    <w:rsid w:val="1C9B3FCB"/>
    <w:rsid w:val="1CD001DE"/>
    <w:rsid w:val="1CEE2D5A"/>
    <w:rsid w:val="1D075770"/>
    <w:rsid w:val="1D0D0DD1"/>
    <w:rsid w:val="1D796AC8"/>
    <w:rsid w:val="1D8879B5"/>
    <w:rsid w:val="1D971967"/>
    <w:rsid w:val="1D986173"/>
    <w:rsid w:val="1EE34641"/>
    <w:rsid w:val="1EEE27DB"/>
    <w:rsid w:val="1F5844BB"/>
    <w:rsid w:val="1F5F584A"/>
    <w:rsid w:val="1F9C0E7F"/>
    <w:rsid w:val="1FF35684"/>
    <w:rsid w:val="200F1D5C"/>
    <w:rsid w:val="213845A4"/>
    <w:rsid w:val="215F3986"/>
    <w:rsid w:val="215F7D44"/>
    <w:rsid w:val="2166441B"/>
    <w:rsid w:val="21E45B00"/>
    <w:rsid w:val="22123047"/>
    <w:rsid w:val="2217240B"/>
    <w:rsid w:val="22187351"/>
    <w:rsid w:val="2221328A"/>
    <w:rsid w:val="22576CAC"/>
    <w:rsid w:val="225A0C09"/>
    <w:rsid w:val="22CB7A5A"/>
    <w:rsid w:val="22E36792"/>
    <w:rsid w:val="22EE13BE"/>
    <w:rsid w:val="22EF0DC1"/>
    <w:rsid w:val="22F51C2B"/>
    <w:rsid w:val="230E22F5"/>
    <w:rsid w:val="231302E2"/>
    <w:rsid w:val="233B634E"/>
    <w:rsid w:val="234C4337"/>
    <w:rsid w:val="234C6632"/>
    <w:rsid w:val="236837CE"/>
    <w:rsid w:val="238E2519"/>
    <w:rsid w:val="23902475"/>
    <w:rsid w:val="23CB51A1"/>
    <w:rsid w:val="23F511C7"/>
    <w:rsid w:val="240E234C"/>
    <w:rsid w:val="249256D3"/>
    <w:rsid w:val="250A6257"/>
    <w:rsid w:val="250C0EE6"/>
    <w:rsid w:val="251A5E54"/>
    <w:rsid w:val="256016F6"/>
    <w:rsid w:val="25711466"/>
    <w:rsid w:val="258E5137"/>
    <w:rsid w:val="26CB1A16"/>
    <w:rsid w:val="26D537F5"/>
    <w:rsid w:val="26E37A2C"/>
    <w:rsid w:val="26F92B7D"/>
    <w:rsid w:val="27093C7A"/>
    <w:rsid w:val="272E210E"/>
    <w:rsid w:val="27383856"/>
    <w:rsid w:val="27C63BFD"/>
    <w:rsid w:val="27DC1ED2"/>
    <w:rsid w:val="28032A8C"/>
    <w:rsid w:val="28034FD9"/>
    <w:rsid w:val="280A3285"/>
    <w:rsid w:val="28226961"/>
    <w:rsid w:val="28414686"/>
    <w:rsid w:val="2854102A"/>
    <w:rsid w:val="28801FE8"/>
    <w:rsid w:val="28D27251"/>
    <w:rsid w:val="28E91306"/>
    <w:rsid w:val="28EF4827"/>
    <w:rsid w:val="2964062C"/>
    <w:rsid w:val="298D0D4A"/>
    <w:rsid w:val="29C70BBB"/>
    <w:rsid w:val="2A16744D"/>
    <w:rsid w:val="2A226DD7"/>
    <w:rsid w:val="2A4E4155"/>
    <w:rsid w:val="2A7523C5"/>
    <w:rsid w:val="2A754CB8"/>
    <w:rsid w:val="2A781EB5"/>
    <w:rsid w:val="2B3E22EB"/>
    <w:rsid w:val="2B936FA7"/>
    <w:rsid w:val="2BA74800"/>
    <w:rsid w:val="2BAC4914"/>
    <w:rsid w:val="2BAF68F3"/>
    <w:rsid w:val="2BB77DAF"/>
    <w:rsid w:val="2BF35C97"/>
    <w:rsid w:val="2CC22F4C"/>
    <w:rsid w:val="2CDC2BCF"/>
    <w:rsid w:val="2D0F7789"/>
    <w:rsid w:val="2D9139BA"/>
    <w:rsid w:val="2D927193"/>
    <w:rsid w:val="2DB377BA"/>
    <w:rsid w:val="2DB651CE"/>
    <w:rsid w:val="2DC66E9C"/>
    <w:rsid w:val="2DD613CD"/>
    <w:rsid w:val="2E25351D"/>
    <w:rsid w:val="2E6F2CAB"/>
    <w:rsid w:val="2E9C3130"/>
    <w:rsid w:val="2F2443BA"/>
    <w:rsid w:val="2F6160A8"/>
    <w:rsid w:val="2F911A4F"/>
    <w:rsid w:val="2FC472E1"/>
    <w:rsid w:val="2FF43D8C"/>
    <w:rsid w:val="300F0BC6"/>
    <w:rsid w:val="3011493E"/>
    <w:rsid w:val="3046033B"/>
    <w:rsid w:val="304F7BF1"/>
    <w:rsid w:val="305F682B"/>
    <w:rsid w:val="30B55C11"/>
    <w:rsid w:val="30DF4DE0"/>
    <w:rsid w:val="311C71A6"/>
    <w:rsid w:val="31457AD2"/>
    <w:rsid w:val="317F0F3C"/>
    <w:rsid w:val="31AF2FF1"/>
    <w:rsid w:val="31C53C32"/>
    <w:rsid w:val="32416D4A"/>
    <w:rsid w:val="32696B33"/>
    <w:rsid w:val="3274411F"/>
    <w:rsid w:val="32910B71"/>
    <w:rsid w:val="331B4576"/>
    <w:rsid w:val="332B3F2D"/>
    <w:rsid w:val="332D5E34"/>
    <w:rsid w:val="33561989"/>
    <w:rsid w:val="337F6519"/>
    <w:rsid w:val="33876CCF"/>
    <w:rsid w:val="33996F3A"/>
    <w:rsid w:val="33B47E5A"/>
    <w:rsid w:val="33CD04F0"/>
    <w:rsid w:val="33E90836"/>
    <w:rsid w:val="340843CC"/>
    <w:rsid w:val="3413221E"/>
    <w:rsid w:val="34563267"/>
    <w:rsid w:val="346E07CB"/>
    <w:rsid w:val="346F52EC"/>
    <w:rsid w:val="347E440E"/>
    <w:rsid w:val="34A560C4"/>
    <w:rsid w:val="34DB551B"/>
    <w:rsid w:val="34F43E41"/>
    <w:rsid w:val="350C1B78"/>
    <w:rsid w:val="355E0625"/>
    <w:rsid w:val="356331C1"/>
    <w:rsid w:val="35904557"/>
    <w:rsid w:val="359A6716"/>
    <w:rsid w:val="35B26423"/>
    <w:rsid w:val="35E20CD8"/>
    <w:rsid w:val="360439AB"/>
    <w:rsid w:val="36274EBB"/>
    <w:rsid w:val="36391B41"/>
    <w:rsid w:val="36566B39"/>
    <w:rsid w:val="36DB5B57"/>
    <w:rsid w:val="37257F21"/>
    <w:rsid w:val="375F68D7"/>
    <w:rsid w:val="376932B2"/>
    <w:rsid w:val="37771C11"/>
    <w:rsid w:val="37AF5943"/>
    <w:rsid w:val="37E8220E"/>
    <w:rsid w:val="38104D1C"/>
    <w:rsid w:val="38261908"/>
    <w:rsid w:val="383C401D"/>
    <w:rsid w:val="385820D9"/>
    <w:rsid w:val="38C369F1"/>
    <w:rsid w:val="38D34E86"/>
    <w:rsid w:val="39643D30"/>
    <w:rsid w:val="396C11D4"/>
    <w:rsid w:val="39961091"/>
    <w:rsid w:val="3A1779CA"/>
    <w:rsid w:val="3A325BDD"/>
    <w:rsid w:val="3AB605BC"/>
    <w:rsid w:val="3B085C22"/>
    <w:rsid w:val="3B381919"/>
    <w:rsid w:val="3B7F1DAA"/>
    <w:rsid w:val="3BCC3E0F"/>
    <w:rsid w:val="3BCE68FB"/>
    <w:rsid w:val="3C20213A"/>
    <w:rsid w:val="3C357C06"/>
    <w:rsid w:val="3C666012"/>
    <w:rsid w:val="3C862210"/>
    <w:rsid w:val="3C9C2330"/>
    <w:rsid w:val="3CB035E3"/>
    <w:rsid w:val="3CC02BB0"/>
    <w:rsid w:val="3D541CB6"/>
    <w:rsid w:val="3D5D11C3"/>
    <w:rsid w:val="3D7B2FA4"/>
    <w:rsid w:val="3D934BE4"/>
    <w:rsid w:val="3DA933D9"/>
    <w:rsid w:val="3E5C147A"/>
    <w:rsid w:val="3E5D4B87"/>
    <w:rsid w:val="3E8F1850"/>
    <w:rsid w:val="3EA64DEB"/>
    <w:rsid w:val="3ED454B4"/>
    <w:rsid w:val="3EE940A2"/>
    <w:rsid w:val="3EF14B61"/>
    <w:rsid w:val="3EFC4A0B"/>
    <w:rsid w:val="3F3C7133"/>
    <w:rsid w:val="3F702B9F"/>
    <w:rsid w:val="3F7266BD"/>
    <w:rsid w:val="3F8073EA"/>
    <w:rsid w:val="3FAC6AC3"/>
    <w:rsid w:val="400754D5"/>
    <w:rsid w:val="400C0745"/>
    <w:rsid w:val="40616E91"/>
    <w:rsid w:val="406428AE"/>
    <w:rsid w:val="409A183A"/>
    <w:rsid w:val="409A28D0"/>
    <w:rsid w:val="40A4087B"/>
    <w:rsid w:val="40D37683"/>
    <w:rsid w:val="41044FA1"/>
    <w:rsid w:val="41170D19"/>
    <w:rsid w:val="417D31BB"/>
    <w:rsid w:val="418D5D47"/>
    <w:rsid w:val="419A1D08"/>
    <w:rsid w:val="422449A5"/>
    <w:rsid w:val="425B4BB0"/>
    <w:rsid w:val="428D57F3"/>
    <w:rsid w:val="42982AA6"/>
    <w:rsid w:val="429F38F6"/>
    <w:rsid w:val="42A017DC"/>
    <w:rsid w:val="42C3069D"/>
    <w:rsid w:val="42CE59CE"/>
    <w:rsid w:val="42F205FF"/>
    <w:rsid w:val="43022211"/>
    <w:rsid w:val="43731849"/>
    <w:rsid w:val="437456E9"/>
    <w:rsid w:val="439E0787"/>
    <w:rsid w:val="43C929E5"/>
    <w:rsid w:val="43EF4B3E"/>
    <w:rsid w:val="444255B6"/>
    <w:rsid w:val="444C01E3"/>
    <w:rsid w:val="44B6326A"/>
    <w:rsid w:val="44C61D43"/>
    <w:rsid w:val="452B604A"/>
    <w:rsid w:val="454550BB"/>
    <w:rsid w:val="455F7AA2"/>
    <w:rsid w:val="45D87D6A"/>
    <w:rsid w:val="461266FA"/>
    <w:rsid w:val="46A506A8"/>
    <w:rsid w:val="46BF6A4A"/>
    <w:rsid w:val="4755115C"/>
    <w:rsid w:val="47F1530E"/>
    <w:rsid w:val="480706A9"/>
    <w:rsid w:val="481903DC"/>
    <w:rsid w:val="481E0C8F"/>
    <w:rsid w:val="482D0AEC"/>
    <w:rsid w:val="485B09F4"/>
    <w:rsid w:val="486A0C38"/>
    <w:rsid w:val="487A531F"/>
    <w:rsid w:val="48AD79E8"/>
    <w:rsid w:val="48BF2D31"/>
    <w:rsid w:val="48C54528"/>
    <w:rsid w:val="48E73B69"/>
    <w:rsid w:val="49207167"/>
    <w:rsid w:val="49325961"/>
    <w:rsid w:val="4943121B"/>
    <w:rsid w:val="49642010"/>
    <w:rsid w:val="49962466"/>
    <w:rsid w:val="499F4710"/>
    <w:rsid w:val="49A66D65"/>
    <w:rsid w:val="49FC1D63"/>
    <w:rsid w:val="4A0C38CA"/>
    <w:rsid w:val="4A6D3ED5"/>
    <w:rsid w:val="4AD36268"/>
    <w:rsid w:val="4AE23EC6"/>
    <w:rsid w:val="4AF93D52"/>
    <w:rsid w:val="4B142D3C"/>
    <w:rsid w:val="4B2A10CA"/>
    <w:rsid w:val="4B916986"/>
    <w:rsid w:val="4BA177A3"/>
    <w:rsid w:val="4BA54739"/>
    <w:rsid w:val="4BE11211"/>
    <w:rsid w:val="4C445285"/>
    <w:rsid w:val="4C4D5965"/>
    <w:rsid w:val="4C66282E"/>
    <w:rsid w:val="4C7C006C"/>
    <w:rsid w:val="4C866BF5"/>
    <w:rsid w:val="4CD11285"/>
    <w:rsid w:val="4D1817B0"/>
    <w:rsid w:val="4DCC10C7"/>
    <w:rsid w:val="4E301329"/>
    <w:rsid w:val="4E890ABD"/>
    <w:rsid w:val="4EF474AD"/>
    <w:rsid w:val="4F2D310F"/>
    <w:rsid w:val="4F3A517B"/>
    <w:rsid w:val="4F7B75CF"/>
    <w:rsid w:val="4F8E345D"/>
    <w:rsid w:val="4F9252FD"/>
    <w:rsid w:val="4FB5220D"/>
    <w:rsid w:val="4FDF0A64"/>
    <w:rsid w:val="4FEE6864"/>
    <w:rsid w:val="501E603E"/>
    <w:rsid w:val="50492993"/>
    <w:rsid w:val="506608EA"/>
    <w:rsid w:val="50770945"/>
    <w:rsid w:val="50C35B83"/>
    <w:rsid w:val="519F7BA4"/>
    <w:rsid w:val="52DA0FDF"/>
    <w:rsid w:val="52FD61A9"/>
    <w:rsid w:val="532C5467"/>
    <w:rsid w:val="542F3F6E"/>
    <w:rsid w:val="543168FC"/>
    <w:rsid w:val="546B754C"/>
    <w:rsid w:val="54DC4C6B"/>
    <w:rsid w:val="54DD29FD"/>
    <w:rsid w:val="550B0196"/>
    <w:rsid w:val="55265382"/>
    <w:rsid w:val="552B1DC7"/>
    <w:rsid w:val="558260F3"/>
    <w:rsid w:val="55A27241"/>
    <w:rsid w:val="55E46537"/>
    <w:rsid w:val="55EA33B8"/>
    <w:rsid w:val="55F14746"/>
    <w:rsid w:val="55FBBA20"/>
    <w:rsid w:val="56280CD4"/>
    <w:rsid w:val="562B067F"/>
    <w:rsid w:val="56464A92"/>
    <w:rsid w:val="56551C6A"/>
    <w:rsid w:val="56656D74"/>
    <w:rsid w:val="56D11EF1"/>
    <w:rsid w:val="56DC71A4"/>
    <w:rsid w:val="56E9366F"/>
    <w:rsid w:val="571921A6"/>
    <w:rsid w:val="57194FD6"/>
    <w:rsid w:val="572F6280"/>
    <w:rsid w:val="57390153"/>
    <w:rsid w:val="573B0D07"/>
    <w:rsid w:val="573D59D6"/>
    <w:rsid w:val="5756024D"/>
    <w:rsid w:val="57AA05D6"/>
    <w:rsid w:val="580764A3"/>
    <w:rsid w:val="58151530"/>
    <w:rsid w:val="588A7858"/>
    <w:rsid w:val="58E71902"/>
    <w:rsid w:val="597C07CB"/>
    <w:rsid w:val="59A87B4E"/>
    <w:rsid w:val="59FE0F03"/>
    <w:rsid w:val="59FF3D53"/>
    <w:rsid w:val="5A463814"/>
    <w:rsid w:val="5A625C12"/>
    <w:rsid w:val="5AB04FA8"/>
    <w:rsid w:val="5AC67F41"/>
    <w:rsid w:val="5AE7166C"/>
    <w:rsid w:val="5B4D241F"/>
    <w:rsid w:val="5B99183B"/>
    <w:rsid w:val="5BAC35E9"/>
    <w:rsid w:val="5BB52297"/>
    <w:rsid w:val="5BF925A6"/>
    <w:rsid w:val="5C204D6D"/>
    <w:rsid w:val="5C517D52"/>
    <w:rsid w:val="5C677510"/>
    <w:rsid w:val="5C94466B"/>
    <w:rsid w:val="5CB960E0"/>
    <w:rsid w:val="5D3C6091"/>
    <w:rsid w:val="5D977CD5"/>
    <w:rsid w:val="5D9E2F8E"/>
    <w:rsid w:val="5DD601BD"/>
    <w:rsid w:val="5DEE5FEB"/>
    <w:rsid w:val="5E3847BC"/>
    <w:rsid w:val="5E644F47"/>
    <w:rsid w:val="5EC4000D"/>
    <w:rsid w:val="5EF0279F"/>
    <w:rsid w:val="5EFE318E"/>
    <w:rsid w:val="5F246A6F"/>
    <w:rsid w:val="5F357279"/>
    <w:rsid w:val="5F454D93"/>
    <w:rsid w:val="5F5C0E82"/>
    <w:rsid w:val="5FB34D3F"/>
    <w:rsid w:val="5FFF22A7"/>
    <w:rsid w:val="6093187E"/>
    <w:rsid w:val="60D61108"/>
    <w:rsid w:val="60D96503"/>
    <w:rsid w:val="60E07754"/>
    <w:rsid w:val="6114274A"/>
    <w:rsid w:val="616E30EF"/>
    <w:rsid w:val="61972646"/>
    <w:rsid w:val="61AA07C5"/>
    <w:rsid w:val="61C84333"/>
    <w:rsid w:val="61C86CA3"/>
    <w:rsid w:val="6227183C"/>
    <w:rsid w:val="627B64A9"/>
    <w:rsid w:val="62AD7C47"/>
    <w:rsid w:val="62B41C2D"/>
    <w:rsid w:val="62CA2F67"/>
    <w:rsid w:val="62E0626E"/>
    <w:rsid w:val="63126807"/>
    <w:rsid w:val="632308B3"/>
    <w:rsid w:val="632F3FF5"/>
    <w:rsid w:val="637F04C8"/>
    <w:rsid w:val="63897E22"/>
    <w:rsid w:val="63AF1201"/>
    <w:rsid w:val="63C93915"/>
    <w:rsid w:val="63D3083B"/>
    <w:rsid w:val="63DA3BD9"/>
    <w:rsid w:val="640026DC"/>
    <w:rsid w:val="648C243C"/>
    <w:rsid w:val="649015CE"/>
    <w:rsid w:val="64904C6C"/>
    <w:rsid w:val="651B21D8"/>
    <w:rsid w:val="65402A47"/>
    <w:rsid w:val="6547309D"/>
    <w:rsid w:val="65534AD5"/>
    <w:rsid w:val="656678BD"/>
    <w:rsid w:val="658E03F1"/>
    <w:rsid w:val="65DA462D"/>
    <w:rsid w:val="65DF6358"/>
    <w:rsid w:val="65E252B4"/>
    <w:rsid w:val="65E43A58"/>
    <w:rsid w:val="661701F9"/>
    <w:rsid w:val="662841B4"/>
    <w:rsid w:val="66700F18"/>
    <w:rsid w:val="670267B3"/>
    <w:rsid w:val="670A38BA"/>
    <w:rsid w:val="67717495"/>
    <w:rsid w:val="67B3225E"/>
    <w:rsid w:val="67B4014E"/>
    <w:rsid w:val="67D0065F"/>
    <w:rsid w:val="6805523B"/>
    <w:rsid w:val="682275BA"/>
    <w:rsid w:val="68B00491"/>
    <w:rsid w:val="68C46B1E"/>
    <w:rsid w:val="68F119BE"/>
    <w:rsid w:val="69191DDB"/>
    <w:rsid w:val="697E40EB"/>
    <w:rsid w:val="69804054"/>
    <w:rsid w:val="69C2222A"/>
    <w:rsid w:val="69F61ED3"/>
    <w:rsid w:val="69FD14B4"/>
    <w:rsid w:val="6A1E682D"/>
    <w:rsid w:val="6A533C69"/>
    <w:rsid w:val="6A674B7F"/>
    <w:rsid w:val="6A865B0E"/>
    <w:rsid w:val="6AB065ED"/>
    <w:rsid w:val="6AEA497E"/>
    <w:rsid w:val="6AF82027"/>
    <w:rsid w:val="6B082180"/>
    <w:rsid w:val="6B27473B"/>
    <w:rsid w:val="6B315BEF"/>
    <w:rsid w:val="6B447492"/>
    <w:rsid w:val="6B5F37D6"/>
    <w:rsid w:val="6B833C3B"/>
    <w:rsid w:val="6B8F25E0"/>
    <w:rsid w:val="6BB05A55"/>
    <w:rsid w:val="6BF51D6D"/>
    <w:rsid w:val="6C3E23F7"/>
    <w:rsid w:val="6C9658B2"/>
    <w:rsid w:val="6CBD10E9"/>
    <w:rsid w:val="6CE51760"/>
    <w:rsid w:val="6CFA2B05"/>
    <w:rsid w:val="6CFA58F7"/>
    <w:rsid w:val="6CFF105E"/>
    <w:rsid w:val="6D534DEB"/>
    <w:rsid w:val="6D7970A3"/>
    <w:rsid w:val="6DA0701C"/>
    <w:rsid w:val="6DA6417B"/>
    <w:rsid w:val="6DAE2237"/>
    <w:rsid w:val="6DB607F7"/>
    <w:rsid w:val="6DD15C99"/>
    <w:rsid w:val="6DDE20FB"/>
    <w:rsid w:val="6DDF2A1D"/>
    <w:rsid w:val="6DF826BE"/>
    <w:rsid w:val="6E056B89"/>
    <w:rsid w:val="6E3C0AD7"/>
    <w:rsid w:val="6E8B493F"/>
    <w:rsid w:val="6EA77C40"/>
    <w:rsid w:val="6EAB14DE"/>
    <w:rsid w:val="6EC407F2"/>
    <w:rsid w:val="6F7356F0"/>
    <w:rsid w:val="6F8F2BAE"/>
    <w:rsid w:val="6FBA4F4B"/>
    <w:rsid w:val="6FD33349"/>
    <w:rsid w:val="6FE22639"/>
    <w:rsid w:val="709513D6"/>
    <w:rsid w:val="70C77CF4"/>
    <w:rsid w:val="70F058CE"/>
    <w:rsid w:val="71057466"/>
    <w:rsid w:val="710F6395"/>
    <w:rsid w:val="712D4BD3"/>
    <w:rsid w:val="71307EC7"/>
    <w:rsid w:val="71445D2F"/>
    <w:rsid w:val="71732D16"/>
    <w:rsid w:val="71C065A8"/>
    <w:rsid w:val="71D417DA"/>
    <w:rsid w:val="71D747D4"/>
    <w:rsid w:val="72233EBE"/>
    <w:rsid w:val="72467C8C"/>
    <w:rsid w:val="72B1108D"/>
    <w:rsid w:val="7349727C"/>
    <w:rsid w:val="736A5E0C"/>
    <w:rsid w:val="73861C9A"/>
    <w:rsid w:val="73B10E8D"/>
    <w:rsid w:val="73ED4347"/>
    <w:rsid w:val="73F83A4B"/>
    <w:rsid w:val="745727B9"/>
    <w:rsid w:val="749173C8"/>
    <w:rsid w:val="749D510E"/>
    <w:rsid w:val="74C55CDC"/>
    <w:rsid w:val="74F021A3"/>
    <w:rsid w:val="74FF3425"/>
    <w:rsid w:val="755A388A"/>
    <w:rsid w:val="75DF4F20"/>
    <w:rsid w:val="763528A1"/>
    <w:rsid w:val="76553412"/>
    <w:rsid w:val="76687D8F"/>
    <w:rsid w:val="768449CF"/>
    <w:rsid w:val="76B05A6D"/>
    <w:rsid w:val="76BA0388"/>
    <w:rsid w:val="76C770D1"/>
    <w:rsid w:val="76D06EE1"/>
    <w:rsid w:val="76E40BD9"/>
    <w:rsid w:val="775F06AD"/>
    <w:rsid w:val="77732DB5"/>
    <w:rsid w:val="777C6B6F"/>
    <w:rsid w:val="777F2D77"/>
    <w:rsid w:val="77B6314B"/>
    <w:rsid w:val="77B718FD"/>
    <w:rsid w:val="77DF669D"/>
    <w:rsid w:val="786F0C44"/>
    <w:rsid w:val="78923FFB"/>
    <w:rsid w:val="789771CB"/>
    <w:rsid w:val="78D541CE"/>
    <w:rsid w:val="791F38A5"/>
    <w:rsid w:val="7939722C"/>
    <w:rsid w:val="796055BB"/>
    <w:rsid w:val="797F5A41"/>
    <w:rsid w:val="79B138B7"/>
    <w:rsid w:val="7A1A439A"/>
    <w:rsid w:val="7A3A1772"/>
    <w:rsid w:val="7A4627FB"/>
    <w:rsid w:val="7A4D50FB"/>
    <w:rsid w:val="7A5910FC"/>
    <w:rsid w:val="7A6F108A"/>
    <w:rsid w:val="7AA634A2"/>
    <w:rsid w:val="7AAB7C25"/>
    <w:rsid w:val="7AD95625"/>
    <w:rsid w:val="7B274B59"/>
    <w:rsid w:val="7B5F5B2A"/>
    <w:rsid w:val="7C25072B"/>
    <w:rsid w:val="7C2A25DC"/>
    <w:rsid w:val="7C460A98"/>
    <w:rsid w:val="7C58298B"/>
    <w:rsid w:val="7CDF1F86"/>
    <w:rsid w:val="7CF40993"/>
    <w:rsid w:val="7D0821F2"/>
    <w:rsid w:val="7D23413D"/>
    <w:rsid w:val="7DCE701D"/>
    <w:rsid w:val="7E026C41"/>
    <w:rsid w:val="7E10135E"/>
    <w:rsid w:val="7E270ED9"/>
    <w:rsid w:val="7E2F3AA9"/>
    <w:rsid w:val="7E494870"/>
    <w:rsid w:val="7E6B7153"/>
    <w:rsid w:val="7EC842B0"/>
    <w:rsid w:val="7EF0118F"/>
    <w:rsid w:val="7F211349"/>
    <w:rsid w:val="7F5E434B"/>
    <w:rsid w:val="7F6C6BA7"/>
    <w:rsid w:val="7F9056C0"/>
    <w:rsid w:val="7F992B6F"/>
    <w:rsid w:val="7FE945FE"/>
    <w:rsid w:val="7FEC0DC8"/>
    <w:rsid w:val="CE3BB9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30"/>
    </w:rPr>
  </w:style>
  <w:style w:type="paragraph" w:styleId="4">
    <w:name w:val="Body Text Indent"/>
    <w:basedOn w:val="1"/>
    <w:next w:val="3"/>
    <w:semiHidden/>
    <w:qFormat/>
    <w:uiPriority w:val="0"/>
    <w:pPr>
      <w:spacing w:after="120"/>
      <w:ind w:left="420" w:leftChars="200"/>
    </w:pPr>
    <w:rPr>
      <w:kern w:val="0"/>
      <w:szCs w:val="20"/>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styleId="12">
    <w:name w:val="Body Text First Indent"/>
    <w:basedOn w:val="3"/>
    <w:qFormat/>
    <w:uiPriority w:val="0"/>
    <w:pPr>
      <w:spacing w:after="0"/>
      <w:ind w:firstLine="420" w:firstLineChars="100"/>
    </w:pPr>
    <w:rPr>
      <w:sz w:val="24"/>
      <w:szCs w:val="24"/>
    </w:rPr>
  </w:style>
  <w:style w:type="paragraph" w:styleId="13">
    <w:name w:val="Body Text First Indent 2"/>
    <w:basedOn w:val="4"/>
    <w:next w:val="12"/>
    <w:qFormat/>
    <w:uiPriority w:val="0"/>
    <w:pPr>
      <w:ind w:left="200" w:firstLine="420" w:firstLineChars="200"/>
    </w:pPr>
    <w:rPr>
      <w:sz w:val="24"/>
      <w:szCs w:val="24"/>
    </w:rPr>
  </w:style>
  <w:style w:type="character" w:styleId="16">
    <w:name w:val="Strong"/>
    <w:basedOn w:val="15"/>
    <w:qFormat/>
    <w:uiPriority w:val="0"/>
    <w:rPr>
      <w:b/>
    </w:rPr>
  </w:style>
  <w:style w:type="character" w:styleId="17">
    <w:name w:val="page number"/>
    <w:basedOn w:val="15"/>
    <w:qFormat/>
    <w:uiPriority w:val="0"/>
  </w:style>
  <w:style w:type="character" w:styleId="18">
    <w:name w:val="FollowedHyperlink"/>
    <w:basedOn w:val="15"/>
    <w:qFormat/>
    <w:uiPriority w:val="0"/>
    <w:rPr>
      <w:color w:val="2490F8"/>
      <w:u w:val="none"/>
    </w:rPr>
  </w:style>
  <w:style w:type="character" w:styleId="19">
    <w:name w:val="HTML Definition"/>
    <w:basedOn w:val="15"/>
    <w:qFormat/>
    <w:uiPriority w:val="0"/>
  </w:style>
  <w:style w:type="character" w:styleId="20">
    <w:name w:val="HTML Variable"/>
    <w:basedOn w:val="15"/>
    <w:qFormat/>
    <w:uiPriority w:val="0"/>
  </w:style>
  <w:style w:type="character" w:styleId="21">
    <w:name w:val="Hyperlink"/>
    <w:basedOn w:val="15"/>
    <w:qFormat/>
    <w:uiPriority w:val="0"/>
    <w:rPr>
      <w:color w:val="0000FF"/>
      <w:u w:val="single"/>
    </w:rPr>
  </w:style>
  <w:style w:type="character" w:styleId="22">
    <w:name w:val="HTML Code"/>
    <w:basedOn w:val="15"/>
    <w:qFormat/>
    <w:uiPriority w:val="0"/>
    <w:rPr>
      <w:rFonts w:ascii="Courier New" w:hAnsi="Courier New"/>
      <w:sz w:val="20"/>
    </w:rPr>
  </w:style>
  <w:style w:type="character" w:styleId="23">
    <w:name w:val="HTML Cite"/>
    <w:basedOn w:val="15"/>
    <w:qFormat/>
    <w:uiPriority w:val="0"/>
  </w:style>
  <w:style w:type="paragraph" w:customStyle="1" w:styleId="24">
    <w:name w:val="正文-公1"/>
    <w:basedOn w:val="1"/>
    <w:next w:val="8"/>
    <w:qFormat/>
    <w:uiPriority w:val="4"/>
    <w:pPr>
      <w:ind w:firstLine="200" w:firstLineChars="200"/>
    </w:pPr>
  </w:style>
  <w:style w:type="paragraph" w:customStyle="1" w:styleId="25">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 w:type="paragraph" w:customStyle="1" w:styleId="26">
    <w:name w:val="p0"/>
    <w:basedOn w:val="1"/>
    <w:qFormat/>
    <w:uiPriority w:val="0"/>
    <w:pPr>
      <w:widowControl/>
    </w:pPr>
    <w:rPr>
      <w:kern w:val="0"/>
      <w:szCs w:val="21"/>
    </w:rPr>
  </w:style>
  <w:style w:type="paragraph" w:customStyle="1" w:styleId="27">
    <w:name w:val="w_正文"/>
    <w:basedOn w:val="1"/>
    <w:qFormat/>
    <w:uiPriority w:val="0"/>
    <w:pPr>
      <w:widowControl/>
      <w:tabs>
        <w:tab w:val="center" w:pos="4201"/>
        <w:tab w:val="right" w:leader="dot" w:pos="9298"/>
      </w:tabs>
      <w:autoSpaceDE w:val="0"/>
      <w:autoSpaceDN w:val="0"/>
      <w:spacing w:line="500" w:lineRule="exact"/>
      <w:ind w:firstLine="200" w:firstLineChars="200"/>
    </w:pPr>
    <w:rPr>
      <w:rFonts w:eastAsia="仿宋"/>
      <w:kern w:val="0"/>
      <w:sz w:val="28"/>
      <w:szCs w:val="20"/>
    </w:rPr>
  </w:style>
  <w:style w:type="character" w:customStyle="1" w:styleId="28">
    <w:name w:val="edit_class"/>
    <w:basedOn w:val="15"/>
    <w:qFormat/>
    <w:uiPriority w:val="0"/>
  </w:style>
  <w:style w:type="character" w:customStyle="1" w:styleId="29">
    <w:name w:val="cy"/>
    <w:basedOn w:val="15"/>
    <w:qFormat/>
    <w:uiPriority w:val="0"/>
  </w:style>
  <w:style w:type="character" w:customStyle="1" w:styleId="30">
    <w:name w:val="layui-layer-tabnow"/>
    <w:basedOn w:val="15"/>
    <w:qFormat/>
    <w:uiPriority w:val="0"/>
    <w:rPr>
      <w:bdr w:val="single" w:color="CCCCCC" w:sz="4" w:space="0"/>
      <w:shd w:val="clear" w:fill="FFFFFF"/>
    </w:rPr>
  </w:style>
  <w:style w:type="character" w:customStyle="1" w:styleId="31">
    <w:name w:val="pagechatarealistclose_box"/>
    <w:basedOn w:val="15"/>
    <w:qFormat/>
    <w:uiPriority w:val="0"/>
  </w:style>
  <w:style w:type="character" w:customStyle="1" w:styleId="32">
    <w:name w:val="pagechatarealistclose_box1"/>
    <w:basedOn w:val="15"/>
    <w:qFormat/>
    <w:uiPriority w:val="0"/>
  </w:style>
  <w:style w:type="character" w:customStyle="1" w:styleId="33">
    <w:name w:val="active5"/>
    <w:basedOn w:val="15"/>
    <w:qFormat/>
    <w:uiPriority w:val="0"/>
    <w:rPr>
      <w:shd w:val="clear" w:fill="EC3535"/>
    </w:rPr>
  </w:style>
  <w:style w:type="character" w:customStyle="1" w:styleId="34">
    <w:name w:val="active6"/>
    <w:basedOn w:val="15"/>
    <w:qFormat/>
    <w:uiPriority w:val="0"/>
    <w:rPr>
      <w:color w:val="00FF00"/>
      <w:shd w:val="clear" w:fill="111111"/>
    </w:rPr>
  </w:style>
  <w:style w:type="character" w:customStyle="1" w:styleId="35">
    <w:name w:val="hilite"/>
    <w:basedOn w:val="15"/>
    <w:qFormat/>
    <w:uiPriority w:val="0"/>
    <w:rPr>
      <w:color w:val="FFFFFF"/>
      <w:shd w:val="clear" w:fill="666666"/>
    </w:rPr>
  </w:style>
  <w:style w:type="character" w:customStyle="1" w:styleId="36">
    <w:name w:val="cdropleft"/>
    <w:basedOn w:val="15"/>
    <w:qFormat/>
    <w:uiPriority w:val="0"/>
  </w:style>
  <w:style w:type="character" w:customStyle="1" w:styleId="37">
    <w:name w:val="w32"/>
    <w:basedOn w:val="15"/>
    <w:qFormat/>
    <w:uiPriority w:val="0"/>
  </w:style>
  <w:style w:type="character" w:customStyle="1" w:styleId="38">
    <w:name w:val="iconline2"/>
    <w:basedOn w:val="15"/>
    <w:qFormat/>
    <w:uiPriority w:val="0"/>
  </w:style>
  <w:style w:type="character" w:customStyle="1" w:styleId="39">
    <w:name w:val="cdropright"/>
    <w:basedOn w:val="15"/>
    <w:qFormat/>
    <w:uiPriority w:val="0"/>
  </w:style>
  <w:style w:type="character" w:customStyle="1" w:styleId="40">
    <w:name w:val="ico1654"/>
    <w:basedOn w:val="15"/>
    <w:qFormat/>
    <w:uiPriority w:val="0"/>
  </w:style>
  <w:style w:type="character" w:customStyle="1" w:styleId="41">
    <w:name w:val="ico1655"/>
    <w:basedOn w:val="15"/>
    <w:qFormat/>
    <w:uiPriority w:val="0"/>
  </w:style>
  <w:style w:type="character" w:customStyle="1" w:styleId="42">
    <w:name w:val="drapbtn"/>
    <w:basedOn w:val="15"/>
    <w:qFormat/>
    <w:uiPriority w:val="0"/>
  </w:style>
  <w:style w:type="character" w:customStyle="1" w:styleId="43">
    <w:name w:val="button"/>
    <w:basedOn w:val="15"/>
    <w:qFormat/>
    <w:uiPriority w:val="0"/>
  </w:style>
  <w:style w:type="character" w:customStyle="1" w:styleId="44">
    <w:name w:val="design_class"/>
    <w:basedOn w:val="15"/>
    <w:qFormat/>
    <w:uiPriority w:val="0"/>
  </w:style>
  <w:style w:type="character" w:customStyle="1" w:styleId="45">
    <w:name w:val="biggerthanmax"/>
    <w:basedOn w:val="15"/>
    <w:qFormat/>
    <w:uiPriority w:val="0"/>
    <w:rPr>
      <w:shd w:val="clear" w:fill="FFFF00"/>
    </w:rPr>
  </w:style>
  <w:style w:type="character" w:customStyle="1" w:styleId="46">
    <w:name w:val="icontext1"/>
    <w:basedOn w:val="15"/>
    <w:qFormat/>
    <w:uiPriority w:val="0"/>
  </w:style>
  <w:style w:type="character" w:customStyle="1" w:styleId="47">
    <w:name w:val="icontext11"/>
    <w:basedOn w:val="15"/>
    <w:qFormat/>
    <w:uiPriority w:val="0"/>
  </w:style>
  <w:style w:type="character" w:customStyle="1" w:styleId="48">
    <w:name w:val="icontext12"/>
    <w:basedOn w:val="15"/>
    <w:qFormat/>
    <w:uiPriority w:val="0"/>
  </w:style>
  <w:style w:type="character" w:customStyle="1" w:styleId="49">
    <w:name w:val="after"/>
    <w:basedOn w:val="15"/>
    <w:qFormat/>
    <w:uiPriority w:val="0"/>
    <w:rPr>
      <w:sz w:val="0"/>
      <w:szCs w:val="0"/>
    </w:rPr>
  </w:style>
  <w:style w:type="character" w:customStyle="1" w:styleId="50">
    <w:name w:val="icontext2"/>
    <w:basedOn w:val="15"/>
    <w:qFormat/>
    <w:uiPriority w:val="0"/>
  </w:style>
  <w:style w:type="character" w:customStyle="1" w:styleId="51">
    <w:name w:val="icontext3"/>
    <w:basedOn w:val="15"/>
    <w:qFormat/>
    <w:uiPriority w:val="0"/>
  </w:style>
  <w:style w:type="character" w:customStyle="1" w:styleId="52">
    <w:name w:val="xdrichtextbox"/>
    <w:basedOn w:val="15"/>
    <w:qFormat/>
    <w:uiPriority w:val="0"/>
    <w:rPr>
      <w:color w:val="auto"/>
      <w:u w:val="none"/>
      <w:bdr w:val="single" w:color="DCDCDC" w:sz="8" w:space="0"/>
      <w:shd w:val="clear" w:fill="auto"/>
    </w:rPr>
  </w:style>
  <w:style w:type="character" w:customStyle="1" w:styleId="53">
    <w:name w:val="associateddata"/>
    <w:basedOn w:val="15"/>
    <w:qFormat/>
    <w:uiPriority w:val="0"/>
    <w:rPr>
      <w:shd w:val="clear" w:fill="50A6F9"/>
    </w:rPr>
  </w:style>
  <w:style w:type="character" w:customStyle="1" w:styleId="54">
    <w:name w:val="tmpztreemove_arrow"/>
    <w:basedOn w:val="15"/>
    <w:qFormat/>
    <w:uiPriority w:val="0"/>
  </w:style>
  <w:style w:type="character" w:customStyle="1" w:styleId="55">
    <w:name w:val="first-child"/>
    <w:basedOn w:val="15"/>
    <w:qFormat/>
    <w:uiPriority w:val="0"/>
  </w:style>
  <w:style w:type="character" w:customStyle="1" w:styleId="56">
    <w:name w:val="hover41"/>
    <w:basedOn w:val="15"/>
    <w:qFormat/>
    <w:uiPriority w:val="0"/>
    <w:rPr>
      <w:color w:val="FFFFFF"/>
    </w:rPr>
  </w:style>
  <w:style w:type="character" w:customStyle="1" w:styleId="57">
    <w:name w:val="choosename"/>
    <w:basedOn w:val="1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3495</Words>
  <Characters>3855</Characters>
  <Lines>2</Lines>
  <Paragraphs>1</Paragraphs>
  <TotalTime>1</TotalTime>
  <ScaleCrop>false</ScaleCrop>
  <LinksUpToDate>false</LinksUpToDate>
  <CharactersWithSpaces>3959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2016-02-04T07:44:00Z</dcterms:created>
  <dc:creator>User</dc:creator>
  <cp:lastModifiedBy></cp:lastModifiedBy>
  <cp:lastPrinted>2024-12-30T16:38:00Z</cp:lastPrinted>
  <dcterms:modified xsi:type="dcterms:W3CDTF">2025-04-29T09:04:50Z</dcterms:modified>
  <dc:title>盘国土资发〔2012〕3号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BC57D25FE6674B91B1F6D7C5A6B9A859_13</vt:lpwstr>
  </property>
  <property fmtid="{D5CDD505-2E9C-101B-9397-08002B2CF9AE}" pid="4" name="KSOSaveFontToCloudKey">
    <vt:lpwstr>407554415_btnclosed</vt:lpwstr>
  </property>
  <property fmtid="{D5CDD505-2E9C-101B-9397-08002B2CF9AE}" pid="5" name="KSOTemplateDocerSaveRecord">
    <vt:lpwstr>eyJoZGlkIjoiNzlkM2Y5OTNlODk5NDEzOWI3YzAzYTQwZDRmM2YxNzAiLCJ1c2VySWQiOiI1MjM0NjA0ODMifQ==</vt:lpwstr>
  </property>
</Properties>
</file>