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19349">
      <w:pPr>
        <w:jc w:val="center"/>
        <w:rPr>
          <w:rFonts w:hint="eastAsia"/>
          <w:color w:val="FF0000"/>
          <w:highlight w:val="none"/>
          <w:lang w:val="en-US" w:eastAsia="zh-CN"/>
        </w:rPr>
      </w:pPr>
      <w:r>
        <w:rPr>
          <w:rFonts w:hint="eastAsia" w:ascii="方正小标宋简体" w:hAnsi="方正小标宋简体" w:eastAsia="方正小标宋简体" w:cs="方正小标宋简体"/>
          <w:color w:val="FF0000"/>
          <w:sz w:val="44"/>
          <w:szCs w:val="44"/>
          <w:highlight w:val="none"/>
          <w:lang w:val="en-US" w:eastAsia="zh-CN"/>
        </w:rPr>
        <w:t>盘州市人民政府办公室文件行文稿纸</w:t>
      </w:r>
    </w:p>
    <w:p w14:paraId="44C8A504">
      <w:pPr>
        <w:jc w:val="left"/>
        <w:rPr>
          <w:rFonts w:hint="eastAsia" w:ascii="仿宋" w:hAnsi="仿宋" w:eastAsia="仿宋" w:cs="仿宋"/>
          <w:color w:val="auto"/>
          <w:sz w:val="28"/>
          <w:szCs w:val="28"/>
          <w:highlight w:val="none"/>
          <w:lang w:val="en-US" w:eastAsia="zh-CN"/>
        </w:rPr>
      </w:pPr>
      <w:r>
        <w:rPr>
          <w:rFonts w:hint="eastAsia"/>
          <w:color w:val="FF0000"/>
          <w:highlight w:val="none"/>
          <w:lang w:val="en-US" w:eastAsia="zh-CN"/>
        </w:rPr>
        <w:t xml:space="preserve">  </w:t>
      </w:r>
      <w:r>
        <w:rPr>
          <w:rFonts w:hint="eastAsia" w:asciiTheme="majorEastAsia" w:hAnsiTheme="majorEastAsia" w:eastAsiaTheme="majorEastAsia" w:cstheme="majorEastAsia"/>
          <w:color w:val="FF0000"/>
          <w:highlight w:val="none"/>
          <w:lang w:val="en-US" w:eastAsia="zh-CN"/>
        </w:rPr>
        <w:t xml:space="preserve">  </w:t>
      </w:r>
      <w:r>
        <w:rPr>
          <w:rFonts w:hint="eastAsia" w:asciiTheme="majorEastAsia" w:hAnsiTheme="majorEastAsia" w:eastAsiaTheme="majorEastAsia" w:cstheme="majorEastAsia"/>
          <w:color w:val="auto"/>
          <w:sz w:val="28"/>
          <w:szCs w:val="28"/>
          <w:highlight w:val="none"/>
          <w:lang w:val="en-US" w:eastAsia="zh-CN"/>
        </w:rPr>
        <w:t xml:space="preserve">文件编号： </w:t>
      </w:r>
      <w:r>
        <w:rPr>
          <w:rFonts w:hint="default" w:ascii="Times New Roman" w:hAnsi="Times New Roman" w:cs="Times New Roman"/>
          <w:color w:val="auto"/>
          <w:sz w:val="28"/>
          <w:szCs w:val="28"/>
          <w:highlight w:val="none"/>
          <w:lang w:val="en-US" w:eastAsia="zh-CN"/>
        </w:rPr>
        <w:t>盘州府呈〔202</w:t>
      </w:r>
      <w:r>
        <w:rPr>
          <w:rFonts w:hint="eastAsia" w:ascii="Times New Roman" w:hAnsi="Times New Roman" w:cs="Times New Roman"/>
          <w:color w:val="auto"/>
          <w:sz w:val="28"/>
          <w:szCs w:val="28"/>
          <w:highlight w:val="none"/>
          <w:lang w:val="en-US" w:eastAsia="zh-CN"/>
        </w:rPr>
        <w:t>5</w:t>
      </w:r>
      <w:r>
        <w:rPr>
          <w:rFonts w:hint="default" w:ascii="Times New Roman" w:hAnsi="Times New Roman" w:cs="Times New Roman"/>
          <w:color w:val="auto"/>
          <w:sz w:val="28"/>
          <w:szCs w:val="28"/>
          <w:highlight w:val="none"/>
          <w:lang w:val="en-US" w:eastAsia="zh-CN"/>
        </w:rPr>
        <w:t>〕     号</w:t>
      </w:r>
      <w:r>
        <w:rPr>
          <w:rFonts w:hint="eastAsia" w:asciiTheme="majorEastAsia" w:hAnsiTheme="majorEastAsia" w:eastAsiaTheme="majorEastAsia" w:cstheme="majorEastAsia"/>
          <w:color w:val="auto"/>
          <w:sz w:val="28"/>
          <w:szCs w:val="28"/>
          <w:highlight w:val="none"/>
          <w:lang w:val="en-US" w:eastAsia="zh-CN"/>
        </w:rPr>
        <w:t xml:space="preserve">              密级：非密</w:t>
      </w:r>
    </w:p>
    <w:p w14:paraId="5E7CC181">
      <w:pPr>
        <w:rPr>
          <w:rFonts w:hint="eastAsia"/>
          <w:color w:val="auto"/>
          <w:highlight w:val="none"/>
          <w:lang w:val="en-US" w:eastAsia="zh-CN"/>
        </w:rPr>
      </w:pPr>
    </w:p>
    <w:tbl>
      <w:tblPr>
        <w:tblStyle w:val="14"/>
        <w:tblpPr w:leftFromText="181" w:rightFromText="181" w:vertAnchor="text" w:horzAnchor="page" w:tblpXSpec="center" w:tblpY="205"/>
        <w:tblOverlap w:val="never"/>
        <w:tblW w:w="10198" w:type="dxa"/>
        <w:jc w:val="center"/>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0" w:type="dxa"/>
          <w:left w:w="108" w:type="dxa"/>
          <w:bottom w:w="0" w:type="dxa"/>
          <w:right w:w="108" w:type="dxa"/>
        </w:tblCellMar>
      </w:tblPr>
      <w:tblGrid>
        <w:gridCol w:w="3399"/>
        <w:gridCol w:w="3174"/>
        <w:gridCol w:w="3625"/>
      </w:tblGrid>
      <w:tr w14:paraId="000B8903">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3273" w:hRule="atLeast"/>
          <w:jc w:val="center"/>
        </w:trPr>
        <w:tc>
          <w:tcPr>
            <w:tcW w:w="3399" w:type="dxa"/>
            <w:tcBorders>
              <w:tl2br w:val="nil"/>
              <w:tr2bl w:val="nil"/>
            </w:tcBorders>
            <w:vAlign w:val="top"/>
          </w:tcPr>
          <w:p w14:paraId="58C62BD7">
            <w:pPr>
              <w:rPr>
                <w:rFonts w:hint="eastAsia"/>
                <w:color w:val="auto"/>
                <w:sz w:val="21"/>
                <w:szCs w:val="21"/>
                <w:lang w:val="en-US" w:eastAsia="zh-CN"/>
              </w:rPr>
            </w:pPr>
            <w:r>
              <w:rPr>
                <w:rFonts w:hint="eastAsia"/>
                <w:color w:val="auto"/>
                <w:sz w:val="21"/>
                <w:szCs w:val="21"/>
                <w:lang w:val="en-US" w:eastAsia="zh-CN"/>
              </w:rPr>
              <w:t>签发：</w:t>
            </w:r>
          </w:p>
        </w:tc>
        <w:tc>
          <w:tcPr>
            <w:tcW w:w="3174" w:type="dxa"/>
            <w:tcBorders>
              <w:tl2br w:val="nil"/>
              <w:tr2bl w:val="nil"/>
            </w:tcBorders>
            <w:vAlign w:val="top"/>
          </w:tcPr>
          <w:p w14:paraId="73420A82">
            <w:pPr>
              <w:rPr>
                <w:rFonts w:hint="eastAsia"/>
                <w:color w:val="auto"/>
                <w:sz w:val="21"/>
                <w:szCs w:val="21"/>
                <w:lang w:val="en-US" w:eastAsia="zh-CN"/>
              </w:rPr>
            </w:pPr>
            <w:r>
              <w:rPr>
                <w:rFonts w:hint="eastAsia"/>
                <w:color w:val="auto"/>
                <w:sz w:val="21"/>
                <w:szCs w:val="21"/>
                <w:lang w:val="en-US" w:eastAsia="zh-CN"/>
              </w:rPr>
              <w:t>有关市领导审核意见：</w:t>
            </w:r>
          </w:p>
          <w:p w14:paraId="4499AE98">
            <w:pPr>
              <w:rPr>
                <w:rFonts w:hint="eastAsia"/>
                <w:color w:val="auto"/>
                <w:sz w:val="21"/>
                <w:szCs w:val="21"/>
                <w:lang w:val="en-US" w:eastAsia="zh-CN"/>
              </w:rPr>
            </w:pPr>
          </w:p>
          <w:p w14:paraId="0916FCB0">
            <w:pPr>
              <w:rPr>
                <w:rFonts w:hint="eastAsia"/>
                <w:color w:val="auto"/>
                <w:sz w:val="21"/>
                <w:szCs w:val="21"/>
                <w:lang w:val="en-US" w:eastAsia="zh-CN"/>
              </w:rPr>
            </w:pPr>
          </w:p>
          <w:p w14:paraId="481A2576">
            <w:pPr>
              <w:rPr>
                <w:rFonts w:hint="eastAsia"/>
                <w:color w:val="auto"/>
                <w:sz w:val="21"/>
                <w:szCs w:val="21"/>
                <w:lang w:val="en-US" w:eastAsia="zh-CN"/>
              </w:rPr>
            </w:pPr>
          </w:p>
          <w:p w14:paraId="67852D19">
            <w:pPr>
              <w:rPr>
                <w:rFonts w:hint="eastAsia"/>
                <w:color w:val="auto"/>
                <w:sz w:val="21"/>
                <w:szCs w:val="21"/>
                <w:lang w:val="en-US" w:eastAsia="zh-CN"/>
              </w:rPr>
            </w:pPr>
          </w:p>
          <w:p w14:paraId="613710CD">
            <w:pPr>
              <w:rPr>
                <w:rFonts w:hint="eastAsia"/>
                <w:color w:val="auto"/>
                <w:sz w:val="21"/>
                <w:szCs w:val="21"/>
                <w:lang w:val="en-US" w:eastAsia="zh-CN"/>
              </w:rPr>
            </w:pPr>
          </w:p>
          <w:p w14:paraId="0ED5164C">
            <w:pPr>
              <w:rPr>
                <w:rFonts w:hint="eastAsia"/>
                <w:color w:val="auto"/>
                <w:sz w:val="21"/>
                <w:szCs w:val="21"/>
                <w:lang w:val="en-US" w:eastAsia="zh-CN"/>
              </w:rPr>
            </w:pPr>
            <w:r>
              <w:rPr>
                <w:sz w:val="21"/>
              </w:rPr>
              <mc:AlternateContent>
                <mc:Choice Requires="wps">
                  <w:drawing>
                    <wp:anchor distT="0" distB="0" distL="114300" distR="114300" simplePos="0" relativeHeight="251662336" behindDoc="0" locked="0" layoutInCell="1" allowOverlap="1">
                      <wp:simplePos x="0" y="0"/>
                      <wp:positionH relativeFrom="column">
                        <wp:posOffset>-55880</wp:posOffset>
                      </wp:positionH>
                      <wp:positionV relativeFrom="paragraph">
                        <wp:posOffset>180975</wp:posOffset>
                      </wp:positionV>
                      <wp:extent cx="4305300" cy="0"/>
                      <wp:effectExtent l="0" t="6350" r="0" b="6350"/>
                      <wp:wrapNone/>
                      <wp:docPr id="4" name="直接连接符 4"/>
                      <wp:cNvGraphicFramePr/>
                      <a:graphic xmlns:a="http://schemas.openxmlformats.org/drawingml/2006/main">
                        <a:graphicData uri="http://schemas.microsoft.com/office/word/2010/wordprocessingShape">
                          <wps:wsp>
                            <wps:cNvCnPr/>
                            <wps:spPr>
                              <a:xfrm>
                                <a:off x="2713355" y="2725420"/>
                                <a:ext cx="4305300" cy="0"/>
                              </a:xfrm>
                              <a:prstGeom prst="line">
                                <a:avLst/>
                              </a:prstGeom>
                              <a:ln w="12700">
                                <a:solidFill>
                                  <a:srgbClr val="FF0000"/>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4.4pt;margin-top:14.25pt;height:0pt;width:339pt;z-index:251662336;mso-width-relative:page;mso-height-relative:page;" filled="f" stroked="t" coordsize="21600,21600" o:gfxdata="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owZ+31wAA&#10;AAgBAAAPAAAAAAAAAAEAIAAAACIAAABkcnMvZG93bnJldi54bWxQSwECFAAUAAAACACHTuJATFHB&#10;aeYBAACnAwAADgAAAAAAAAABACAAAAAmAQAAZHJzL2Uyb0RvYy54bWxQSwUGAAAAAAYABgBZAQAA&#10;fgUAAAAA&#10;">
                      <v:fill on="f" focussize="0,0"/>
                      <v:stroke weight="1pt" color="#FF0000 [3204]" joinstyle="round"/>
                      <v:imagedata o:title=""/>
                      <o:lock v:ext="edit" aspectratio="f"/>
                    </v:line>
                  </w:pict>
                </mc:Fallback>
              </mc:AlternateContent>
            </w:r>
          </w:p>
          <w:p w14:paraId="6DB322F5">
            <w:pPr>
              <w:rPr>
                <w:rFonts w:hint="eastAsia"/>
                <w:color w:val="auto"/>
                <w:sz w:val="21"/>
                <w:szCs w:val="21"/>
                <w:lang w:val="en-US" w:eastAsia="zh-CN"/>
              </w:rPr>
            </w:pPr>
            <w:r>
              <w:rPr>
                <w:rFonts w:hint="eastAsia"/>
                <w:color w:val="auto"/>
                <w:sz w:val="21"/>
                <w:szCs w:val="21"/>
                <w:lang w:val="en-US" w:eastAsia="zh-CN"/>
              </w:rPr>
              <w:t>主任审核意见：</w:t>
            </w:r>
          </w:p>
          <w:p w14:paraId="5FE6ABA5">
            <w:pPr>
              <w:rPr>
                <w:rFonts w:hint="eastAsia"/>
                <w:color w:val="auto"/>
                <w:sz w:val="21"/>
                <w:szCs w:val="21"/>
                <w:lang w:val="en-US" w:eastAsia="zh-CN"/>
              </w:rPr>
            </w:pPr>
          </w:p>
          <w:p w14:paraId="5EC513C8">
            <w:pPr>
              <w:rPr>
                <w:rFonts w:hint="eastAsia"/>
                <w:color w:val="auto"/>
                <w:sz w:val="21"/>
                <w:szCs w:val="21"/>
                <w:lang w:val="en-US" w:eastAsia="zh-CN"/>
              </w:rPr>
            </w:pPr>
          </w:p>
          <w:p w14:paraId="6DD23FFC">
            <w:pPr>
              <w:rPr>
                <w:rFonts w:hint="eastAsia"/>
                <w:color w:val="auto"/>
                <w:sz w:val="21"/>
                <w:szCs w:val="21"/>
                <w:lang w:val="en-US" w:eastAsia="zh-CN"/>
              </w:rPr>
            </w:pPr>
          </w:p>
          <w:p w14:paraId="7B97A1A8">
            <w:pPr>
              <w:rPr>
                <w:rFonts w:hint="eastAsia"/>
                <w:color w:val="auto"/>
                <w:sz w:val="21"/>
                <w:szCs w:val="21"/>
                <w:lang w:val="en-US" w:eastAsia="zh-CN"/>
              </w:rPr>
            </w:pPr>
          </w:p>
          <w:p w14:paraId="37F446E6">
            <w:pPr>
              <w:rPr>
                <w:rFonts w:hint="eastAsia"/>
                <w:color w:val="auto"/>
                <w:sz w:val="21"/>
                <w:szCs w:val="21"/>
                <w:lang w:val="en-US" w:eastAsia="zh-CN"/>
              </w:rPr>
            </w:pPr>
          </w:p>
          <w:p w14:paraId="043D844D">
            <w:pPr>
              <w:rPr>
                <w:rFonts w:hint="eastAsia"/>
                <w:color w:val="auto"/>
                <w:sz w:val="21"/>
                <w:szCs w:val="21"/>
                <w:lang w:val="en-US" w:eastAsia="zh-CN"/>
              </w:rPr>
            </w:pPr>
          </w:p>
        </w:tc>
        <w:tc>
          <w:tcPr>
            <w:tcW w:w="3625" w:type="dxa"/>
            <w:tcBorders>
              <w:top w:val="single" w:color="auto" w:sz="4" w:space="0"/>
              <w:tl2br w:val="nil"/>
              <w:tr2bl w:val="nil"/>
            </w:tcBorders>
            <w:vAlign w:val="top"/>
          </w:tcPr>
          <w:p w14:paraId="7D983A3C">
            <w:pPr>
              <w:rPr>
                <w:rFonts w:hint="eastAsia"/>
                <w:color w:val="auto"/>
                <w:sz w:val="21"/>
                <w:szCs w:val="21"/>
                <w:lang w:val="en-US" w:eastAsia="zh-CN"/>
              </w:rPr>
            </w:pPr>
            <w:r>
              <w:rPr>
                <w:rFonts w:hint="eastAsia"/>
                <w:color w:val="auto"/>
                <w:sz w:val="21"/>
                <w:szCs w:val="21"/>
                <w:lang w:val="en-US" w:eastAsia="zh-CN"/>
              </w:rPr>
              <w:t>定密责任人意见：</w:t>
            </w:r>
          </w:p>
          <w:p w14:paraId="6E0A4682">
            <w:pPr>
              <w:rPr>
                <w:rFonts w:hint="eastAsia"/>
                <w:color w:val="auto"/>
                <w:sz w:val="21"/>
                <w:szCs w:val="21"/>
                <w:lang w:val="en-US" w:eastAsia="zh-CN"/>
                <w14:textFill>
                  <w14:gradFill>
                    <w14:gsLst>
                      <w14:gs w14:pos="0">
                        <w14:srgbClr w14:val="E30000"/>
                      </w14:gs>
                      <w14:gs w14:pos="100000">
                        <w14:srgbClr w14:val="760303"/>
                      </w14:gs>
                    </w14:gsLst>
                    <w14:lin w14:ang="5400000" w14:scaled="0"/>
                  </w14:gradFill>
                </w14:textFill>
              </w:rPr>
            </w:pPr>
          </w:p>
          <w:p w14:paraId="7071E9F7">
            <w:pPr>
              <w:rPr>
                <w:rFonts w:hint="eastAsia"/>
                <w:color w:val="auto"/>
                <w:sz w:val="21"/>
                <w:szCs w:val="21"/>
                <w:lang w:val="en-US" w:eastAsia="zh-CN"/>
                <w14:textFill>
                  <w14:gradFill>
                    <w14:gsLst>
                      <w14:gs w14:pos="0">
                        <w14:srgbClr w14:val="E30000"/>
                      </w14:gs>
                      <w14:gs w14:pos="100000">
                        <w14:srgbClr w14:val="760303"/>
                      </w14:gs>
                    </w14:gsLst>
                    <w14:lin w14:ang="5400000" w14:scaled="0"/>
                  </w14:gradFill>
                </w14:textFill>
              </w:rPr>
            </w:pPr>
          </w:p>
          <w:p w14:paraId="5AB8144E">
            <w:pPr>
              <w:rPr>
                <w:rFonts w:hint="eastAsia"/>
                <w:color w:val="auto"/>
                <w:sz w:val="21"/>
                <w:szCs w:val="21"/>
                <w:lang w:val="en-US" w:eastAsia="zh-CN"/>
                <w14:textFill>
                  <w14:gradFill>
                    <w14:gsLst>
                      <w14:gs w14:pos="0">
                        <w14:srgbClr w14:val="E30000"/>
                      </w14:gs>
                      <w14:gs w14:pos="100000">
                        <w14:srgbClr w14:val="760303"/>
                      </w14:gs>
                    </w14:gsLst>
                    <w14:lin w14:ang="5400000" w14:scaled="0"/>
                  </w14:gradFill>
                </w14:textFill>
              </w:rPr>
            </w:pPr>
          </w:p>
          <w:p w14:paraId="3CB3994A">
            <w:pPr>
              <w:rPr>
                <w:rFonts w:hint="eastAsia"/>
                <w:color w:val="auto"/>
                <w:sz w:val="21"/>
                <w:szCs w:val="21"/>
                <w:lang w:val="en-US" w:eastAsia="zh-CN"/>
                <w14:textFill>
                  <w14:gradFill>
                    <w14:gsLst>
                      <w14:gs w14:pos="0">
                        <w14:srgbClr w14:val="E30000"/>
                      </w14:gs>
                      <w14:gs w14:pos="100000">
                        <w14:srgbClr w14:val="760303"/>
                      </w14:gs>
                    </w14:gsLst>
                    <w14:lin w14:ang="5400000" w14:scaled="0"/>
                  </w14:gradFill>
                </w14:textFill>
              </w:rPr>
            </w:pPr>
          </w:p>
          <w:p w14:paraId="7919C8F1">
            <w:pPr>
              <w:rPr>
                <w:rFonts w:hint="eastAsia"/>
                <w:color w:val="auto"/>
                <w:sz w:val="21"/>
                <w:szCs w:val="21"/>
                <w:lang w:val="en-US" w:eastAsia="zh-CN"/>
                <w14:textFill>
                  <w14:gradFill>
                    <w14:gsLst>
                      <w14:gs w14:pos="0">
                        <w14:srgbClr w14:val="E30000"/>
                      </w14:gs>
                      <w14:gs w14:pos="100000">
                        <w14:srgbClr w14:val="760303"/>
                      </w14:gs>
                    </w14:gsLst>
                    <w14:lin w14:ang="5400000" w14:scaled="0"/>
                  </w14:gradFill>
                </w14:textFill>
              </w:rPr>
            </w:pPr>
          </w:p>
          <w:p w14:paraId="4216A18B">
            <w:pPr>
              <w:rPr>
                <w:rFonts w:hint="eastAsia"/>
                <w:color w:val="auto"/>
                <w:sz w:val="21"/>
                <w:szCs w:val="21"/>
                <w:lang w:val="en-US" w:eastAsia="zh-CN"/>
                <w14:textFill>
                  <w14:gradFill>
                    <w14:gsLst>
                      <w14:gs w14:pos="0">
                        <w14:srgbClr w14:val="E30000"/>
                      </w14:gs>
                      <w14:gs w14:pos="100000">
                        <w14:srgbClr w14:val="760303"/>
                      </w14:gs>
                    </w14:gsLst>
                    <w14:lin w14:ang="5400000" w14:scaled="0"/>
                  </w14:gradFill>
                </w14:textFill>
              </w:rPr>
            </w:pPr>
          </w:p>
          <w:p w14:paraId="2ED44B00">
            <w:pPr>
              <w:rPr>
                <w:rFonts w:hint="eastAsia"/>
                <w:color w:val="auto"/>
                <w:sz w:val="21"/>
                <w:szCs w:val="21"/>
                <w:lang w:val="en-US" w:eastAsia="zh-CN"/>
              </w:rPr>
            </w:pPr>
            <w:r>
              <w:rPr>
                <w:rFonts w:hint="eastAsia"/>
                <w:color w:val="auto"/>
                <w:sz w:val="21"/>
                <w:szCs w:val="21"/>
                <w:lang w:val="en-US" w:eastAsia="zh-CN"/>
              </w:rPr>
              <w:t>联系副主任、文字副主任意见：</w:t>
            </w:r>
          </w:p>
          <w:p w14:paraId="06F0C502">
            <w:pPr>
              <w:rPr>
                <w:rFonts w:hint="eastAsia"/>
                <w:color w:val="auto"/>
                <w:sz w:val="21"/>
                <w:szCs w:val="21"/>
                <w:lang w:val="en-US" w:eastAsia="zh-CN"/>
                <w14:textFill>
                  <w14:gradFill>
                    <w14:gsLst>
                      <w14:gs w14:pos="0">
                        <w14:srgbClr w14:val="E30000"/>
                      </w14:gs>
                      <w14:gs w14:pos="100000">
                        <w14:srgbClr w14:val="760303"/>
                      </w14:gs>
                    </w14:gsLst>
                    <w14:lin w14:ang="5400000" w14:scaled="0"/>
                  </w14:gradFill>
                </w14:textFill>
              </w:rPr>
            </w:pPr>
          </w:p>
        </w:tc>
      </w:tr>
      <w:tr w14:paraId="092AA2C6">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562" w:hRule="atLeast"/>
          <w:jc w:val="center"/>
        </w:trPr>
        <w:tc>
          <w:tcPr>
            <w:tcW w:w="6573" w:type="dxa"/>
            <w:gridSpan w:val="2"/>
            <w:vMerge w:val="restart"/>
            <w:tcBorders>
              <w:tl2br w:val="nil"/>
              <w:tr2bl w:val="nil"/>
            </w:tcBorders>
            <w:vAlign w:val="top"/>
          </w:tcPr>
          <w:p w14:paraId="735B1905">
            <w:pPr>
              <w:rPr>
                <w:rFonts w:hint="eastAsia"/>
                <w:color w:val="auto"/>
                <w:sz w:val="21"/>
                <w:szCs w:val="21"/>
                <w:lang w:val="en-US" w:eastAsia="zh-CN"/>
              </w:rPr>
            </w:pPr>
            <w:r>
              <w:rPr>
                <w:rFonts w:hint="eastAsia"/>
                <w:color w:val="auto"/>
                <w:sz w:val="21"/>
                <w:szCs w:val="21"/>
                <w:lang w:val="en-US" w:eastAsia="zh-CN"/>
              </w:rPr>
              <w:t>标题：</w:t>
            </w:r>
            <w:r>
              <w:rPr>
                <w:rFonts w:hint="default" w:ascii="Times New Roman" w:hAnsi="Times New Roman" w:cs="Times New Roman"/>
                <w:color w:val="auto"/>
                <w:sz w:val="24"/>
                <w:szCs w:val="24"/>
                <w:highlight w:val="none"/>
                <w:lang w:val="en-US" w:eastAsia="zh-CN"/>
              </w:rPr>
              <w:t>盘州市人民政府关于申请</w:t>
            </w:r>
            <w:r>
              <w:rPr>
                <w:rFonts w:hint="eastAsia" w:ascii="Times New Roman" w:hAnsi="Times New Roman" w:cs="Times New Roman"/>
                <w:color w:val="auto"/>
                <w:sz w:val="24"/>
                <w:szCs w:val="24"/>
                <w:highlight w:val="none"/>
                <w:lang w:val="en-US" w:eastAsia="zh-CN"/>
              </w:rPr>
              <w:t>盘州市2024年度第十批次城镇建设用地</w:t>
            </w:r>
            <w:r>
              <w:rPr>
                <w:rFonts w:hint="default" w:ascii="Times New Roman" w:hAnsi="Times New Roman" w:cs="Times New Roman"/>
                <w:color w:val="auto"/>
                <w:sz w:val="24"/>
                <w:szCs w:val="24"/>
                <w:highlight w:val="none"/>
                <w:lang w:val="en-US" w:eastAsia="zh-CN"/>
              </w:rPr>
              <w:t>农用地转用和土地征收的请示</w:t>
            </w:r>
          </w:p>
          <w:p w14:paraId="17483BAA">
            <w:pPr>
              <w:rPr>
                <w:rFonts w:hint="eastAsia"/>
                <w:color w:val="auto"/>
                <w:sz w:val="21"/>
                <w:szCs w:val="21"/>
                <w:lang w:val="en-US" w:eastAsia="zh-CN"/>
              </w:rPr>
            </w:pPr>
          </w:p>
          <w:p w14:paraId="646BEAA0">
            <w:pPr>
              <w:rPr>
                <w:rFonts w:hint="eastAsia"/>
                <w:color w:val="auto"/>
                <w:sz w:val="21"/>
                <w:szCs w:val="21"/>
                <w:lang w:val="en-US" w:eastAsia="zh-CN"/>
              </w:rPr>
            </w:pPr>
            <w:r>
              <w:rPr>
                <w:color w:val="auto"/>
                <w:sz w:val="21"/>
              </w:rPr>
              <mc:AlternateContent>
                <mc:Choice Requires="wps">
                  <w:drawing>
                    <wp:anchor distT="0" distB="0" distL="114300" distR="114300" simplePos="0" relativeHeight="251661312" behindDoc="0" locked="0" layoutInCell="1" allowOverlap="1">
                      <wp:simplePos x="0" y="0"/>
                      <wp:positionH relativeFrom="column">
                        <wp:posOffset>4076700</wp:posOffset>
                      </wp:positionH>
                      <wp:positionV relativeFrom="paragraph">
                        <wp:posOffset>96520</wp:posOffset>
                      </wp:positionV>
                      <wp:extent cx="2295525" cy="635"/>
                      <wp:effectExtent l="0" t="0" r="0" b="0"/>
                      <wp:wrapNone/>
                      <wp:docPr id="1" name="直线 2"/>
                      <wp:cNvGraphicFramePr/>
                      <a:graphic xmlns:a="http://schemas.openxmlformats.org/drawingml/2006/main">
                        <a:graphicData uri="http://schemas.microsoft.com/office/word/2010/wordprocessingShape">
                          <wps:wsp>
                            <wps:cNvCnPr/>
                            <wps:spPr>
                              <a:xfrm>
                                <a:off x="0" y="0"/>
                                <a:ext cx="2295525" cy="635"/>
                              </a:xfrm>
                              <a:prstGeom prst="line">
                                <a:avLst/>
                              </a:prstGeom>
                              <a:ln w="952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321pt;margin-top:7.6pt;height:0.05pt;width:180.75pt;z-index:251661312;mso-width-relative:page;mso-height-relative:page;" filled="f" stroked="t" coordsize="21600,21600" o:gfxdata="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CQHYs&#10;1wAAAAoBAAAPAAAAAAAAAAEAIAAAACIAAABkcnMvZG93bnJldi54bWxQSwECFAAUAAAACACHTuJA&#10;M6GjXOkBAADdAwAADgAAAAAAAAABACAAAAAmAQAAZHJzL2Uyb0RvYy54bWxQSwUGAAAAAAYABgBZ&#10;AQAAgQUAAAAA&#10;">
                      <v:fill on="f" focussize="0,0"/>
                      <v:stroke color="#FF0000" joinstyle="round"/>
                      <v:imagedata o:title=""/>
                      <o:lock v:ext="edit" aspectratio="f"/>
                    </v:line>
                  </w:pict>
                </mc:Fallback>
              </mc:AlternateContent>
            </w:r>
          </w:p>
        </w:tc>
        <w:tc>
          <w:tcPr>
            <w:tcW w:w="3625" w:type="dxa"/>
            <w:tcBorders>
              <w:bottom w:val="single" w:color="auto" w:sz="4" w:space="0"/>
              <w:tl2br w:val="nil"/>
              <w:tr2bl w:val="nil"/>
            </w:tcBorders>
            <w:vAlign w:val="top"/>
          </w:tcPr>
          <w:p w14:paraId="394403FD">
            <w:pPr>
              <w:rPr>
                <w:rFonts w:hint="eastAsia"/>
                <w:color w:val="auto"/>
                <w:sz w:val="21"/>
                <w:szCs w:val="21"/>
                <w:lang w:val="en-US" w:eastAsia="zh-CN"/>
              </w:rPr>
            </w:pPr>
            <w:r>
              <w:rPr>
                <w:rFonts w:hint="eastAsia"/>
                <w:color w:val="auto"/>
                <w:sz w:val="21"/>
                <w:szCs w:val="21"/>
                <w:lang w:val="en-US" w:eastAsia="zh-CN"/>
              </w:rPr>
              <w:t>是否公开：</w:t>
            </w:r>
          </w:p>
        </w:tc>
      </w:tr>
      <w:tr w14:paraId="6D3FBD0B">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824" w:hRule="atLeast"/>
          <w:jc w:val="center"/>
        </w:trPr>
        <w:tc>
          <w:tcPr>
            <w:tcW w:w="6573" w:type="dxa"/>
            <w:gridSpan w:val="2"/>
            <w:vMerge w:val="continue"/>
            <w:tcBorders>
              <w:right w:val="single" w:color="auto" w:sz="4" w:space="0"/>
              <w:tl2br w:val="nil"/>
              <w:tr2bl w:val="nil"/>
            </w:tcBorders>
            <w:vAlign w:val="top"/>
          </w:tcPr>
          <w:p w14:paraId="1C32A913">
            <w:pPr>
              <w:rPr>
                <w:rFonts w:hint="eastAsia" w:eastAsia="宋体"/>
                <w:color w:val="auto"/>
                <w:sz w:val="21"/>
                <w:szCs w:val="21"/>
                <w:lang w:eastAsia="zh-CN"/>
              </w:rPr>
            </w:pPr>
            <w:r>
              <w:rPr>
                <w:rFonts w:hint="eastAsia"/>
                <w:color w:val="auto"/>
                <w:sz w:val="21"/>
                <w:szCs w:val="21"/>
                <w:lang w:eastAsia="zh-CN"/>
              </w:rPr>
              <w:t>：</w:t>
            </w:r>
          </w:p>
        </w:tc>
        <w:tc>
          <w:tcPr>
            <w:tcW w:w="3625" w:type="dxa"/>
            <w:vMerge w:val="restart"/>
            <w:tcBorders>
              <w:top w:val="single" w:color="auto" w:sz="4" w:space="0"/>
              <w:left w:val="single" w:color="auto" w:sz="4" w:space="0"/>
              <w:bottom w:val="single" w:color="auto" w:sz="4" w:space="0"/>
              <w:tl2br w:val="nil"/>
              <w:tr2bl w:val="nil"/>
            </w:tcBorders>
            <w:vAlign w:val="top"/>
          </w:tcPr>
          <w:p w14:paraId="5DDFF1E4">
            <w:pPr>
              <w:rPr>
                <w:rFonts w:hint="eastAsia"/>
                <w:color w:val="auto"/>
                <w:sz w:val="21"/>
                <w:szCs w:val="21"/>
                <w:lang w:val="en-US" w:eastAsia="zh-CN"/>
              </w:rPr>
            </w:pPr>
            <w:r>
              <w:rPr>
                <w:rFonts w:hint="eastAsia"/>
                <w:color w:val="auto"/>
                <w:sz w:val="21"/>
                <w:szCs w:val="21"/>
                <w:lang w:val="en-US" w:eastAsia="zh-CN"/>
              </w:rPr>
              <w:t>是否属于公平竞争审查范围：</w:t>
            </w:r>
          </w:p>
          <w:p w14:paraId="4098553B">
            <w:pPr>
              <w:rPr>
                <w:rFonts w:hint="eastAsia"/>
                <w:color w:val="auto"/>
                <w:sz w:val="21"/>
                <w:szCs w:val="21"/>
                <w:lang w:val="en-US" w:eastAsia="zh-CN"/>
              </w:rPr>
            </w:pPr>
          </w:p>
          <w:p w14:paraId="4047464F">
            <w:pPr>
              <w:rPr>
                <w:rFonts w:hint="eastAsia"/>
                <w:color w:val="auto"/>
                <w:sz w:val="21"/>
                <w:szCs w:val="21"/>
                <w:lang w:val="en-US" w:eastAsia="zh-CN"/>
              </w:rPr>
            </w:pPr>
            <w:r>
              <w:rPr>
                <w:rFonts w:hint="eastAsia"/>
                <w:color w:val="auto"/>
                <w:sz w:val="21"/>
                <w:szCs w:val="21"/>
                <w:lang w:val="en-US" w:eastAsia="zh-CN"/>
              </w:rPr>
              <w:t>是否开展合法性审查：</w:t>
            </w:r>
          </w:p>
        </w:tc>
      </w:tr>
      <w:tr w14:paraId="18982472">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322" w:hRule="atLeast"/>
          <w:jc w:val="center"/>
        </w:trPr>
        <w:tc>
          <w:tcPr>
            <w:tcW w:w="6573" w:type="dxa"/>
            <w:gridSpan w:val="2"/>
            <w:vMerge w:val="restart"/>
            <w:tcBorders>
              <w:right w:val="single" w:color="auto" w:sz="4" w:space="0"/>
              <w:tl2br w:val="nil"/>
              <w:tr2bl w:val="nil"/>
            </w:tcBorders>
            <w:vAlign w:val="top"/>
          </w:tcPr>
          <w:p w14:paraId="65B4C9D3">
            <w:pPr>
              <w:rPr>
                <w:rFonts w:hint="eastAsia"/>
                <w:lang w:val="en-US" w:eastAsia="zh-CN"/>
              </w:rPr>
            </w:pPr>
            <w:r>
              <w:rPr>
                <w:rFonts w:hint="eastAsia"/>
                <w:color w:val="auto"/>
                <w:sz w:val="21"/>
                <w:szCs w:val="21"/>
                <w:lang w:val="en-US" w:eastAsia="zh-CN"/>
              </w:rPr>
              <w:t>拟文说明（定密依据）：</w:t>
            </w:r>
            <w:r>
              <w:rPr>
                <w:rFonts w:hint="default" w:ascii="Times New Roman" w:hAnsi="Times New Roman" w:cs="Times New Roman"/>
                <w:color w:val="auto"/>
                <w:sz w:val="24"/>
                <w:szCs w:val="24"/>
                <w:highlight w:val="none"/>
                <w:lang w:val="en-US" w:eastAsia="zh-CN"/>
              </w:rPr>
              <w:t>根据《中华人民共和国土地管理法》《中华人民共和国土地管理法实施条例》等法律法规的</w:t>
            </w:r>
            <w:r>
              <w:rPr>
                <w:rFonts w:hint="eastAsia" w:ascii="Times New Roman" w:hAnsi="Times New Roman" w:cs="Times New Roman"/>
                <w:color w:val="auto"/>
                <w:sz w:val="24"/>
                <w:szCs w:val="24"/>
                <w:highlight w:val="none"/>
                <w:lang w:val="en-US" w:eastAsia="zh-CN"/>
              </w:rPr>
              <w:t>有关</w:t>
            </w:r>
            <w:r>
              <w:rPr>
                <w:rFonts w:hint="default" w:ascii="Times New Roman" w:hAnsi="Times New Roman" w:cs="Times New Roman"/>
                <w:color w:val="auto"/>
                <w:sz w:val="24"/>
                <w:szCs w:val="24"/>
                <w:highlight w:val="none"/>
                <w:lang w:val="en-US" w:eastAsia="zh-CN"/>
              </w:rPr>
              <w:t>规定，</w:t>
            </w:r>
            <w:r>
              <w:rPr>
                <w:rFonts w:hint="eastAsia" w:ascii="Times New Roman" w:hAnsi="Times New Roman" w:cs="Times New Roman"/>
                <w:color w:val="auto"/>
                <w:sz w:val="24"/>
                <w:szCs w:val="24"/>
                <w:highlight w:val="none"/>
                <w:lang w:val="en-US" w:eastAsia="zh-CN"/>
              </w:rPr>
              <w:t>盘州市2024年度第十批次城镇建设用地</w:t>
            </w:r>
            <w:r>
              <w:rPr>
                <w:rFonts w:hint="default" w:ascii="Times New Roman" w:hAnsi="Times New Roman" w:cs="Times New Roman"/>
                <w:color w:val="auto"/>
                <w:sz w:val="24"/>
                <w:szCs w:val="24"/>
                <w:highlight w:val="none"/>
                <w:lang w:val="en-US" w:eastAsia="zh-CN"/>
              </w:rPr>
              <w:t>农用地转用和土地征收符合法律规定的公共利益情形，盘州市已依法完成土地征收前期工作，拟定农用地转用方案，用地符合节约集约</w:t>
            </w:r>
            <w:r>
              <w:rPr>
                <w:rFonts w:hint="eastAsia" w:ascii="Times New Roman" w:hAnsi="Times New Roman" w:cs="Times New Roman"/>
                <w:color w:val="auto"/>
                <w:sz w:val="24"/>
                <w:szCs w:val="24"/>
                <w:highlight w:val="none"/>
                <w:lang w:val="en-US" w:eastAsia="zh-CN"/>
              </w:rPr>
              <w:t>有关</w:t>
            </w:r>
            <w:r>
              <w:rPr>
                <w:rFonts w:hint="default" w:ascii="Times New Roman" w:hAnsi="Times New Roman" w:cs="Times New Roman"/>
                <w:color w:val="auto"/>
                <w:sz w:val="24"/>
                <w:szCs w:val="24"/>
                <w:highlight w:val="none"/>
                <w:lang w:val="en-US" w:eastAsia="zh-CN"/>
              </w:rPr>
              <w:t>规定，征地补偿安置符合规定要求，确需办理农用地转用并征收土地。现形成此稿，按程序审签后报送。</w:t>
            </w:r>
          </w:p>
        </w:tc>
        <w:tc>
          <w:tcPr>
            <w:tcW w:w="3625" w:type="dxa"/>
            <w:vMerge w:val="continue"/>
            <w:tcBorders>
              <w:top w:val="single" w:color="auto" w:sz="4" w:space="0"/>
              <w:left w:val="single" w:color="auto" w:sz="4" w:space="0"/>
              <w:bottom w:val="single" w:color="auto" w:sz="4" w:space="0"/>
              <w:tl2br w:val="nil"/>
              <w:tr2bl w:val="nil"/>
            </w:tcBorders>
            <w:vAlign w:val="top"/>
          </w:tcPr>
          <w:p w14:paraId="68356352">
            <w:pPr>
              <w:rPr>
                <w:rFonts w:hint="eastAsia"/>
                <w:color w:val="auto"/>
                <w:sz w:val="21"/>
                <w:szCs w:val="21"/>
                <w:lang w:val="en-US" w:eastAsia="zh-CN"/>
              </w:rPr>
            </w:pPr>
          </w:p>
        </w:tc>
      </w:tr>
      <w:tr w14:paraId="37FD5461">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1481" w:hRule="atLeast"/>
          <w:jc w:val="center"/>
        </w:trPr>
        <w:tc>
          <w:tcPr>
            <w:tcW w:w="6573" w:type="dxa"/>
            <w:gridSpan w:val="2"/>
            <w:vMerge w:val="continue"/>
            <w:tcBorders>
              <w:tl2br w:val="nil"/>
              <w:tr2bl w:val="nil"/>
            </w:tcBorders>
            <w:vAlign w:val="top"/>
          </w:tcPr>
          <w:p w14:paraId="066B296D">
            <w:pPr>
              <w:rPr>
                <w:color w:val="auto"/>
                <w:sz w:val="21"/>
                <w:szCs w:val="21"/>
              </w:rPr>
            </w:pPr>
          </w:p>
        </w:tc>
        <w:tc>
          <w:tcPr>
            <w:tcW w:w="3625" w:type="dxa"/>
            <w:vMerge w:val="restart"/>
            <w:tcBorders>
              <w:top w:val="single" w:color="auto" w:sz="4" w:space="0"/>
              <w:bottom w:val="single" w:color="auto" w:sz="4" w:space="0"/>
              <w:tl2br w:val="nil"/>
              <w:tr2bl w:val="nil"/>
            </w:tcBorders>
            <w:vAlign w:val="top"/>
          </w:tcPr>
          <w:p w14:paraId="04F72987">
            <w:pPr>
              <w:rPr>
                <w:rFonts w:hint="eastAsia"/>
                <w:color w:val="auto"/>
                <w:sz w:val="21"/>
                <w:szCs w:val="21"/>
                <w:lang w:val="en-US" w:eastAsia="zh-CN"/>
              </w:rPr>
            </w:pPr>
            <w:r>
              <w:rPr>
                <w:rFonts w:hint="eastAsia"/>
                <w:color w:val="auto"/>
                <w:sz w:val="21"/>
                <w:szCs w:val="21"/>
                <w:lang w:val="en-US" w:eastAsia="zh-CN"/>
              </w:rPr>
              <w:t>承办科室负责人审核：</w:t>
            </w:r>
          </w:p>
          <w:p w14:paraId="378FD73E">
            <w:pPr>
              <w:rPr>
                <w:rFonts w:hint="eastAsia"/>
                <w:color w:val="auto"/>
                <w:sz w:val="21"/>
                <w:szCs w:val="21"/>
                <w:lang w:val="en-US" w:eastAsia="zh-CN"/>
              </w:rPr>
            </w:pPr>
          </w:p>
          <w:p w14:paraId="6AC9C48A">
            <w:pPr>
              <w:rPr>
                <w:rFonts w:hint="eastAsia"/>
                <w:color w:val="auto"/>
                <w:sz w:val="21"/>
                <w:szCs w:val="21"/>
                <w:lang w:val="en-US" w:eastAsia="zh-CN"/>
              </w:rPr>
            </w:pPr>
          </w:p>
          <w:p w14:paraId="494E8007">
            <w:pPr>
              <w:rPr>
                <w:rFonts w:hint="eastAsia"/>
                <w:color w:val="auto"/>
                <w:sz w:val="21"/>
                <w:szCs w:val="21"/>
                <w:lang w:val="en-US" w:eastAsia="zh-CN"/>
              </w:rPr>
            </w:pPr>
          </w:p>
          <w:p w14:paraId="47ADF669">
            <w:pPr>
              <w:rPr>
                <w:rFonts w:hint="eastAsia"/>
                <w:color w:val="auto"/>
                <w:sz w:val="21"/>
                <w:szCs w:val="21"/>
                <w:lang w:val="en-US" w:eastAsia="zh-CN"/>
              </w:rPr>
            </w:pPr>
          </w:p>
          <w:p w14:paraId="67D6A7CC">
            <w:pPr>
              <w:rPr>
                <w:rFonts w:hint="eastAsia"/>
                <w:color w:val="auto"/>
                <w:sz w:val="21"/>
                <w:szCs w:val="21"/>
                <w:lang w:val="en-US" w:eastAsia="zh-CN"/>
              </w:rPr>
            </w:pPr>
          </w:p>
          <w:p w14:paraId="65DA89FF">
            <w:pPr>
              <w:rPr>
                <w:rFonts w:hint="eastAsia"/>
                <w:color w:val="auto"/>
                <w:sz w:val="21"/>
                <w:szCs w:val="21"/>
                <w:lang w:val="en-US" w:eastAsia="zh-CN"/>
              </w:rPr>
            </w:pPr>
            <w:r>
              <w:rPr>
                <w:rFonts w:hint="eastAsia"/>
                <w:color w:val="auto"/>
                <w:sz w:val="21"/>
                <w:szCs w:val="21"/>
                <w:lang w:val="en-US" w:eastAsia="zh-CN"/>
              </w:rPr>
              <w:t xml:space="preserve">                    年  月   日</w:t>
            </w:r>
          </w:p>
        </w:tc>
      </w:tr>
      <w:tr w14:paraId="6C6B91FF">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677" w:hRule="atLeast"/>
          <w:jc w:val="center"/>
        </w:trPr>
        <w:tc>
          <w:tcPr>
            <w:tcW w:w="6573" w:type="dxa"/>
            <w:gridSpan w:val="2"/>
            <w:vMerge w:val="restart"/>
            <w:tcBorders>
              <w:tl2br w:val="nil"/>
              <w:tr2bl w:val="nil"/>
            </w:tcBorders>
            <w:vAlign w:val="top"/>
          </w:tcPr>
          <w:p w14:paraId="615D9DF0">
            <w:pPr>
              <w:rPr>
                <w:rFonts w:hint="eastAsia"/>
                <w:color w:val="auto"/>
                <w:sz w:val="21"/>
                <w:szCs w:val="21"/>
                <w:lang w:val="en-US" w:eastAsia="zh-CN"/>
              </w:rPr>
            </w:pPr>
            <w:r>
              <w:rPr>
                <w:rFonts w:hint="eastAsia"/>
                <w:color w:val="auto"/>
                <w:sz w:val="21"/>
                <w:szCs w:val="21"/>
                <w:lang w:val="en-US" w:eastAsia="zh-CN"/>
              </w:rPr>
              <w:t>主送：</w:t>
            </w:r>
          </w:p>
        </w:tc>
        <w:tc>
          <w:tcPr>
            <w:tcW w:w="3625" w:type="dxa"/>
            <w:vMerge w:val="continue"/>
            <w:tcBorders>
              <w:top w:val="single" w:color="auto" w:sz="4" w:space="0"/>
              <w:bottom w:val="single" w:color="auto" w:sz="4" w:space="0"/>
              <w:tl2br w:val="nil"/>
              <w:tr2bl w:val="nil"/>
            </w:tcBorders>
            <w:vAlign w:val="top"/>
          </w:tcPr>
          <w:p w14:paraId="30035888">
            <w:pPr>
              <w:rPr>
                <w:rFonts w:hint="eastAsia"/>
                <w:color w:val="auto"/>
                <w:sz w:val="21"/>
                <w:szCs w:val="21"/>
                <w:lang w:val="en-US" w:eastAsia="zh-CN"/>
              </w:rPr>
            </w:pPr>
          </w:p>
        </w:tc>
      </w:tr>
      <w:tr w14:paraId="75E43E6C">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314" w:hRule="atLeast"/>
          <w:jc w:val="center"/>
        </w:trPr>
        <w:tc>
          <w:tcPr>
            <w:tcW w:w="6573" w:type="dxa"/>
            <w:gridSpan w:val="2"/>
            <w:vMerge w:val="continue"/>
            <w:tcBorders>
              <w:tl2br w:val="nil"/>
              <w:tr2bl w:val="nil"/>
            </w:tcBorders>
            <w:vAlign w:val="top"/>
          </w:tcPr>
          <w:p w14:paraId="41A485CC">
            <w:pPr>
              <w:rPr>
                <w:color w:val="auto"/>
                <w:sz w:val="21"/>
                <w:szCs w:val="21"/>
              </w:rPr>
            </w:pPr>
          </w:p>
        </w:tc>
        <w:tc>
          <w:tcPr>
            <w:tcW w:w="3625" w:type="dxa"/>
            <w:vMerge w:val="restart"/>
            <w:tcBorders>
              <w:top w:val="single" w:color="auto" w:sz="4" w:space="0"/>
              <w:bottom w:val="single" w:color="auto" w:sz="4" w:space="0"/>
              <w:tl2br w:val="nil"/>
              <w:tr2bl w:val="nil"/>
            </w:tcBorders>
            <w:vAlign w:val="top"/>
          </w:tcPr>
          <w:p w14:paraId="5A7401EA">
            <w:pPr>
              <w:rPr>
                <w:rFonts w:hint="eastAsia"/>
                <w:color w:val="auto"/>
                <w:sz w:val="21"/>
                <w:szCs w:val="21"/>
                <w:lang w:val="en-US" w:eastAsia="zh-CN"/>
              </w:rPr>
            </w:pPr>
            <w:r>
              <w:rPr>
                <w:rFonts w:hint="eastAsia"/>
                <w:color w:val="auto"/>
                <w:sz w:val="21"/>
                <w:szCs w:val="21"/>
                <w:lang w:val="en-US" w:eastAsia="zh-CN"/>
              </w:rPr>
              <w:t>承办科室拟稿人员：</w:t>
            </w:r>
          </w:p>
          <w:p w14:paraId="1DB15046">
            <w:pPr>
              <w:rPr>
                <w:rFonts w:hint="eastAsia"/>
                <w:color w:val="auto"/>
                <w:sz w:val="21"/>
                <w:szCs w:val="21"/>
                <w:lang w:val="en-US" w:eastAsia="zh-CN"/>
              </w:rPr>
            </w:pPr>
          </w:p>
          <w:p w14:paraId="32097A94">
            <w:pPr>
              <w:rPr>
                <w:rFonts w:hint="eastAsia"/>
                <w:color w:val="auto"/>
                <w:sz w:val="21"/>
                <w:szCs w:val="21"/>
                <w:lang w:val="en-US" w:eastAsia="zh-CN"/>
              </w:rPr>
            </w:pPr>
          </w:p>
          <w:p w14:paraId="06670887">
            <w:pPr>
              <w:rPr>
                <w:rFonts w:hint="eastAsia"/>
                <w:color w:val="auto"/>
                <w:sz w:val="21"/>
                <w:szCs w:val="21"/>
                <w:lang w:val="en-US" w:eastAsia="zh-CN"/>
              </w:rPr>
            </w:pPr>
          </w:p>
          <w:p w14:paraId="4EC7D788">
            <w:pPr>
              <w:rPr>
                <w:rFonts w:hint="eastAsia"/>
                <w:color w:val="auto"/>
                <w:sz w:val="21"/>
                <w:szCs w:val="21"/>
                <w:lang w:val="en-US" w:eastAsia="zh-CN"/>
              </w:rPr>
            </w:pPr>
            <w:r>
              <w:rPr>
                <w:rFonts w:hint="eastAsia"/>
                <w:color w:val="auto"/>
                <w:sz w:val="21"/>
                <w:szCs w:val="21"/>
                <w:lang w:val="en-US" w:eastAsia="zh-CN"/>
              </w:rPr>
              <w:t xml:space="preserve">                    年  月  日</w:t>
            </w:r>
          </w:p>
        </w:tc>
      </w:tr>
      <w:tr w14:paraId="0CB0C043">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706" w:hRule="atLeast"/>
          <w:jc w:val="center"/>
        </w:trPr>
        <w:tc>
          <w:tcPr>
            <w:tcW w:w="6573" w:type="dxa"/>
            <w:gridSpan w:val="2"/>
            <w:vMerge w:val="restart"/>
            <w:tcBorders>
              <w:tl2br w:val="nil"/>
              <w:tr2bl w:val="nil"/>
            </w:tcBorders>
            <w:vAlign w:val="top"/>
          </w:tcPr>
          <w:p w14:paraId="37F9A199">
            <w:pPr>
              <w:rPr>
                <w:rFonts w:hint="eastAsia"/>
                <w:color w:val="auto"/>
                <w:sz w:val="21"/>
                <w:szCs w:val="21"/>
                <w:lang w:val="en-US" w:eastAsia="zh-CN"/>
              </w:rPr>
            </w:pPr>
            <w:r>
              <w:rPr>
                <w:rFonts w:hint="eastAsia"/>
                <w:color w:val="auto"/>
                <w:sz w:val="21"/>
                <w:szCs w:val="21"/>
                <w:lang w:val="en-US" w:eastAsia="zh-CN"/>
              </w:rPr>
              <w:t>分（抄）送：</w:t>
            </w:r>
          </w:p>
          <w:p w14:paraId="7711C745">
            <w:pPr>
              <w:rPr>
                <w:rFonts w:hint="eastAsia"/>
                <w:color w:val="auto"/>
                <w:sz w:val="21"/>
                <w:szCs w:val="21"/>
                <w:lang w:val="en-US" w:eastAsia="zh-CN"/>
              </w:rPr>
            </w:pPr>
          </w:p>
        </w:tc>
        <w:tc>
          <w:tcPr>
            <w:tcW w:w="3625" w:type="dxa"/>
            <w:vMerge w:val="continue"/>
            <w:tcBorders>
              <w:top w:val="single" w:color="auto" w:sz="4" w:space="0"/>
              <w:bottom w:val="single" w:color="auto" w:sz="4" w:space="0"/>
              <w:tl2br w:val="nil"/>
              <w:tr2bl w:val="nil"/>
            </w:tcBorders>
            <w:vAlign w:val="top"/>
          </w:tcPr>
          <w:p w14:paraId="5DD632B0">
            <w:pPr>
              <w:rPr>
                <w:rFonts w:hint="eastAsia"/>
                <w:color w:val="auto"/>
                <w:sz w:val="21"/>
                <w:szCs w:val="21"/>
                <w:lang w:val="en-US" w:eastAsia="zh-CN"/>
              </w:rPr>
            </w:pPr>
          </w:p>
        </w:tc>
      </w:tr>
      <w:tr w14:paraId="40B91B36">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645" w:hRule="atLeast"/>
          <w:jc w:val="center"/>
        </w:trPr>
        <w:tc>
          <w:tcPr>
            <w:tcW w:w="6573" w:type="dxa"/>
            <w:gridSpan w:val="2"/>
            <w:vMerge w:val="continue"/>
            <w:tcBorders>
              <w:tl2br w:val="nil"/>
              <w:tr2bl w:val="nil"/>
            </w:tcBorders>
            <w:vAlign w:val="top"/>
          </w:tcPr>
          <w:p w14:paraId="76648A6D">
            <w:pPr>
              <w:rPr>
                <w:color w:val="auto"/>
                <w:sz w:val="21"/>
                <w:szCs w:val="21"/>
              </w:rPr>
            </w:pPr>
          </w:p>
        </w:tc>
        <w:tc>
          <w:tcPr>
            <w:tcW w:w="3625" w:type="dxa"/>
            <w:vMerge w:val="restart"/>
            <w:tcBorders>
              <w:top w:val="single" w:color="auto" w:sz="4" w:space="0"/>
              <w:bottom w:val="single" w:color="auto" w:sz="4" w:space="0"/>
              <w:tl2br w:val="nil"/>
              <w:tr2bl w:val="nil"/>
            </w:tcBorders>
            <w:vAlign w:val="top"/>
          </w:tcPr>
          <w:p w14:paraId="41E73F4B">
            <w:pPr>
              <w:rPr>
                <w:rFonts w:hint="eastAsia"/>
                <w:color w:val="auto"/>
                <w:sz w:val="21"/>
                <w:szCs w:val="21"/>
                <w:lang w:val="en-US" w:eastAsia="zh-CN"/>
              </w:rPr>
            </w:pPr>
            <w:r>
              <w:rPr>
                <w:rFonts w:hint="eastAsia"/>
                <w:color w:val="auto"/>
                <w:sz w:val="21"/>
                <w:szCs w:val="21"/>
                <w:lang w:val="en-US" w:eastAsia="zh-CN"/>
              </w:rPr>
              <w:t>承办科室清样校对：</w:t>
            </w:r>
          </w:p>
          <w:p w14:paraId="71183EC5">
            <w:pPr>
              <w:rPr>
                <w:rFonts w:hint="eastAsia"/>
                <w:color w:val="auto"/>
                <w:sz w:val="21"/>
                <w:szCs w:val="21"/>
                <w:lang w:val="en-US" w:eastAsia="zh-CN"/>
              </w:rPr>
            </w:pPr>
          </w:p>
          <w:p w14:paraId="357A77B0">
            <w:pPr>
              <w:rPr>
                <w:rFonts w:hint="eastAsia"/>
                <w:color w:val="auto"/>
                <w:sz w:val="21"/>
                <w:szCs w:val="21"/>
                <w:lang w:val="en-US" w:eastAsia="zh-CN"/>
              </w:rPr>
            </w:pPr>
          </w:p>
          <w:p w14:paraId="12EFF9FE">
            <w:pPr>
              <w:rPr>
                <w:rFonts w:hint="eastAsia"/>
                <w:color w:val="auto"/>
                <w:sz w:val="21"/>
                <w:szCs w:val="21"/>
                <w:lang w:val="en-US" w:eastAsia="zh-CN"/>
              </w:rPr>
            </w:pPr>
          </w:p>
          <w:p w14:paraId="0B739259">
            <w:pPr>
              <w:rPr>
                <w:rFonts w:hint="eastAsia"/>
                <w:color w:val="auto"/>
                <w:sz w:val="21"/>
                <w:szCs w:val="21"/>
                <w:lang w:val="en-US" w:eastAsia="zh-CN"/>
              </w:rPr>
            </w:pPr>
            <w:r>
              <w:rPr>
                <w:rFonts w:hint="eastAsia"/>
                <w:color w:val="auto"/>
                <w:sz w:val="21"/>
                <w:szCs w:val="21"/>
                <w:lang w:val="en-US" w:eastAsia="zh-CN"/>
              </w:rPr>
              <w:t xml:space="preserve">                    年  月  日</w:t>
            </w:r>
          </w:p>
        </w:tc>
      </w:tr>
      <w:tr w14:paraId="351E4A7D">
        <w:tblPrEx>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CellMar>
            <w:top w:w="0" w:type="dxa"/>
            <w:left w:w="108" w:type="dxa"/>
            <w:bottom w:w="0" w:type="dxa"/>
            <w:right w:w="108" w:type="dxa"/>
          </w:tblCellMar>
        </w:tblPrEx>
        <w:trPr>
          <w:trHeight w:val="1753" w:hRule="atLeast"/>
          <w:jc w:val="center"/>
        </w:trPr>
        <w:tc>
          <w:tcPr>
            <w:tcW w:w="6573" w:type="dxa"/>
            <w:gridSpan w:val="2"/>
            <w:tcBorders>
              <w:tl2br w:val="nil"/>
              <w:tr2bl w:val="nil"/>
            </w:tcBorders>
            <w:vAlign w:val="top"/>
          </w:tcPr>
          <w:p w14:paraId="237289CD">
            <w:pPr>
              <w:rPr>
                <w:rFonts w:hint="eastAsia"/>
                <w:color w:val="auto"/>
                <w:sz w:val="21"/>
                <w:szCs w:val="21"/>
                <w:lang w:val="en-US" w:eastAsia="zh-CN"/>
              </w:rPr>
            </w:pPr>
            <w:r>
              <w:rPr>
                <w:rFonts w:hint="eastAsia"/>
                <w:color w:val="auto"/>
                <w:sz w:val="21"/>
                <w:szCs w:val="21"/>
                <w:lang w:val="en-US" w:eastAsia="zh-CN"/>
              </w:rPr>
              <w:t>备注：</w:t>
            </w:r>
          </w:p>
          <w:p w14:paraId="2920BCE3">
            <w:pPr>
              <w:rPr>
                <w:rFonts w:hint="eastAsia"/>
                <w:color w:val="auto"/>
                <w:sz w:val="21"/>
                <w:szCs w:val="21"/>
                <w:lang w:val="en-US" w:eastAsia="zh-CN"/>
              </w:rPr>
            </w:pPr>
          </w:p>
          <w:p w14:paraId="62C61AD2">
            <w:pPr>
              <w:rPr>
                <w:rFonts w:hint="eastAsia"/>
                <w:color w:val="auto"/>
                <w:sz w:val="21"/>
                <w:szCs w:val="21"/>
                <w:lang w:val="en-US" w:eastAsia="zh-CN"/>
              </w:rPr>
            </w:pPr>
          </w:p>
          <w:p w14:paraId="218D4FC6">
            <w:pPr>
              <w:rPr>
                <w:rFonts w:hint="eastAsia"/>
                <w:color w:val="auto"/>
                <w:sz w:val="21"/>
                <w:szCs w:val="21"/>
                <w:lang w:val="en-US" w:eastAsia="zh-CN"/>
              </w:rPr>
            </w:pPr>
          </w:p>
        </w:tc>
        <w:tc>
          <w:tcPr>
            <w:tcW w:w="3625" w:type="dxa"/>
            <w:vMerge w:val="continue"/>
            <w:tcBorders>
              <w:top w:val="single" w:color="auto" w:sz="4" w:space="0"/>
              <w:bottom w:val="single" w:color="auto" w:sz="4" w:space="0"/>
              <w:tl2br w:val="nil"/>
              <w:tr2bl w:val="nil"/>
            </w:tcBorders>
            <w:vAlign w:val="top"/>
          </w:tcPr>
          <w:p w14:paraId="4BEF6356">
            <w:pPr>
              <w:rPr>
                <w:rFonts w:hint="eastAsia"/>
                <w:color w:val="auto"/>
                <w:sz w:val="21"/>
                <w:szCs w:val="21"/>
                <w:lang w:val="en-US" w:eastAsia="zh-CN"/>
              </w:rPr>
            </w:pPr>
          </w:p>
        </w:tc>
      </w:tr>
    </w:tbl>
    <w:p w14:paraId="62743D0A">
      <w:pPr>
        <w:pStyle w:val="3"/>
        <w:rPr>
          <w:rFonts w:hint="eastAsia"/>
          <w:lang w:val="en-US" w:eastAsia="zh-CN"/>
        </w:rPr>
        <w:sectPr>
          <w:pgSz w:w="11906" w:h="16838"/>
          <w:pgMar w:top="1134" w:right="680" w:bottom="850" w:left="680" w:header="851" w:footer="992" w:gutter="0"/>
          <w:pgBorders>
            <w:top w:val="none" w:sz="0" w:space="0"/>
            <w:left w:val="none" w:sz="0" w:space="0"/>
            <w:bottom w:val="none" w:sz="0" w:space="0"/>
            <w:right w:val="none" w:sz="0" w:space="0"/>
          </w:pgBorders>
          <w:cols w:space="720" w:num="1"/>
          <w:rtlGutter w:val="0"/>
          <w:docGrid w:type="lines" w:linePitch="312" w:charSpace="0"/>
        </w:sectPr>
      </w:pPr>
    </w:p>
    <w:p w14:paraId="6477EBA1">
      <w:pPr>
        <w:spacing w:line="700" w:lineRule="exact"/>
        <w:jc w:val="center"/>
        <w:rPr>
          <w:rFonts w:hint="eastAsia" w:ascii="方正小标宋简体" w:hAnsi="方正小标宋简体" w:eastAsia="方正小标宋简体" w:cs="方正小标宋简体"/>
          <w:color w:val="000000" w:themeColor="text1"/>
          <w:spacing w:val="11"/>
          <w:w w:val="95"/>
          <w:sz w:val="44"/>
          <w:szCs w:val="44"/>
          <w:highlight w:val="none"/>
          <w:lang w:eastAsia="zh-TW"/>
          <w14:textFill>
            <w14:solidFill>
              <w14:schemeClr w14:val="tx1"/>
            </w14:solidFill>
          </w14:textFill>
        </w:rPr>
      </w:pPr>
      <w:r>
        <w:rPr>
          <w:rFonts w:hint="eastAsia" w:ascii="方正小标宋简体" w:hAnsi="方正小标宋简体" w:eastAsia="方正小标宋简体" w:cs="方正小标宋简体"/>
          <w:color w:val="000000" w:themeColor="text1"/>
          <w:spacing w:val="11"/>
          <w:w w:val="95"/>
          <w:sz w:val="44"/>
          <w:szCs w:val="44"/>
          <w:highlight w:val="none"/>
          <w14:textFill>
            <w14:solidFill>
              <w14:schemeClr w14:val="tx1"/>
            </w14:solidFill>
          </w14:textFill>
        </w:rPr>
        <w:t>盘州市人民政府关于</w:t>
      </w:r>
      <w:r>
        <w:rPr>
          <w:rFonts w:hint="eastAsia" w:ascii="方正小标宋简体" w:hAnsi="方正小标宋简体" w:eastAsia="方正小标宋简体" w:cs="方正小标宋简体"/>
          <w:color w:val="000000" w:themeColor="text1"/>
          <w:spacing w:val="11"/>
          <w:sz w:val="44"/>
          <w:szCs w:val="44"/>
          <w:highlight w:val="none"/>
          <w14:textFill>
            <w14:solidFill>
              <w14:schemeClr w14:val="tx1"/>
            </w14:solidFill>
          </w14:textFill>
        </w:rPr>
        <w:t>申请</w:t>
      </w:r>
      <w:r>
        <w:rPr>
          <w:rFonts w:hint="eastAsia" w:ascii="方正小标宋简体" w:hAnsi="方正小标宋简体" w:eastAsia="方正小标宋简体" w:cs="方正小标宋简体"/>
          <w:color w:val="000000" w:themeColor="text1"/>
          <w:spacing w:val="11"/>
          <w:w w:val="95"/>
          <w:sz w:val="44"/>
          <w:szCs w:val="44"/>
          <w:highlight w:val="none"/>
          <w:lang w:eastAsia="zh-CN"/>
          <w14:textFill>
            <w14:solidFill>
              <w14:schemeClr w14:val="tx1"/>
            </w14:solidFill>
          </w14:textFill>
        </w:rPr>
        <w:t>盘州市2024年度第十批次城镇建设用地</w:t>
      </w:r>
      <w:r>
        <w:rPr>
          <w:rFonts w:hint="eastAsia" w:ascii="方正小标宋简体" w:hAnsi="方正小标宋简体" w:eastAsia="方正小标宋简体" w:cs="方正小标宋简体"/>
          <w:color w:val="000000" w:themeColor="text1"/>
          <w:spacing w:val="11"/>
          <w:w w:val="95"/>
          <w:sz w:val="44"/>
          <w:szCs w:val="44"/>
          <w:highlight w:val="none"/>
          <w:lang w:eastAsia="zh-TW"/>
          <w14:textFill>
            <w14:solidFill>
              <w14:schemeClr w14:val="tx1"/>
            </w14:solidFill>
          </w14:textFill>
        </w:rPr>
        <w:t>农用地转用</w:t>
      </w:r>
    </w:p>
    <w:p w14:paraId="679772A7">
      <w:pPr>
        <w:spacing w:line="700" w:lineRule="exact"/>
        <w:jc w:val="center"/>
        <w:rPr>
          <w:rFonts w:hint="eastAsia" w:ascii="方正小标宋简体" w:hAnsi="方正小标宋简体" w:eastAsia="方正小标宋简体" w:cs="方正小标宋简体"/>
          <w:color w:val="000000" w:themeColor="text1"/>
          <w:spacing w:val="11"/>
          <w:w w:val="95"/>
          <w:sz w:val="44"/>
          <w:szCs w:val="44"/>
          <w:highlight w:val="none"/>
          <w14:textFill>
            <w14:solidFill>
              <w14:schemeClr w14:val="tx1"/>
            </w14:solidFill>
          </w14:textFill>
        </w:rPr>
      </w:pPr>
      <w:r>
        <w:rPr>
          <w:rFonts w:hint="eastAsia" w:ascii="方正小标宋简体" w:hAnsi="方正小标宋简体" w:eastAsia="方正小标宋简体" w:cs="方正小标宋简体"/>
          <w:color w:val="000000" w:themeColor="text1"/>
          <w:spacing w:val="11"/>
          <w:w w:val="95"/>
          <w:sz w:val="44"/>
          <w:szCs w:val="44"/>
          <w:highlight w:val="none"/>
          <w:lang w:eastAsia="zh-TW"/>
          <w14:textFill>
            <w14:solidFill>
              <w14:schemeClr w14:val="tx1"/>
            </w14:solidFill>
          </w14:textFill>
        </w:rPr>
        <w:t>和</w:t>
      </w:r>
      <w:r>
        <w:rPr>
          <w:rFonts w:hint="eastAsia" w:ascii="方正小标宋简体" w:hAnsi="方正小标宋简体" w:eastAsia="方正小标宋简体" w:cs="方正小标宋简体"/>
          <w:color w:val="000000" w:themeColor="text1"/>
          <w:spacing w:val="11"/>
          <w:w w:val="95"/>
          <w:sz w:val="44"/>
          <w:szCs w:val="44"/>
          <w:highlight w:val="none"/>
          <w14:textFill>
            <w14:solidFill>
              <w14:schemeClr w14:val="tx1"/>
            </w14:solidFill>
          </w14:textFill>
        </w:rPr>
        <w:t>土地征收的请示</w:t>
      </w:r>
    </w:p>
    <w:p w14:paraId="3816517A">
      <w:pPr>
        <w:spacing w:line="600" w:lineRule="exact"/>
        <w:ind w:firstLine="640" w:firstLineChars="200"/>
        <w:rPr>
          <w:rFonts w:ascii="Times New Roman" w:hAnsi="Times New Roman" w:eastAsia="仿宋_GB2312"/>
          <w:color w:val="000000" w:themeColor="text1"/>
          <w:sz w:val="32"/>
          <w:szCs w:val="32"/>
          <w:highlight w:val="none"/>
          <w:lang w:eastAsia="zh-TW"/>
          <w14:textFill>
            <w14:solidFill>
              <w14:schemeClr w14:val="tx1"/>
            </w14:solidFill>
          </w14:textFill>
        </w:rPr>
      </w:pPr>
    </w:p>
    <w:p w14:paraId="4B4082DF">
      <w:pPr>
        <w:spacing w:line="578" w:lineRule="exact"/>
        <w:textAlignment w:val="bottom"/>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六盘水市人民政府：</w:t>
      </w:r>
    </w:p>
    <w:p w14:paraId="04E97EC8">
      <w:pPr>
        <w:spacing w:line="578" w:lineRule="exact"/>
        <w:ind w:left="1" w:firstLine="640" w:firstLineChars="200"/>
        <w:textAlignment w:val="bottom"/>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t>根据</w:t>
      </w:r>
      <w:r>
        <w:rPr>
          <w:rFonts w:hint="eastAsia" w:ascii="仿宋_GB2312" w:hAnsi="仿宋_GB2312" w:eastAsia="仿宋_GB2312" w:cs="仿宋_GB2312"/>
          <w:color w:val="000000" w:themeColor="text1"/>
          <w:sz w:val="32"/>
          <w:szCs w:val="32"/>
          <w:highlight w:val="none"/>
          <w14:textFill>
            <w14:solidFill>
              <w14:schemeClr w14:val="tx1"/>
            </w14:solidFill>
          </w14:textFill>
        </w:rPr>
        <w:t>《中华人民共和国土地管理法</w:t>
      </w:r>
      <w:r>
        <w:rPr>
          <w:rFonts w:hint="eastAsia" w:ascii="仿宋_GB2312" w:hAnsi="仿宋_GB2312" w:eastAsia="仿宋_GB2312" w:cs="仿宋_GB2312"/>
          <w:color w:val="000000" w:themeColor="text1"/>
          <w:sz w:val="32"/>
          <w:szCs w:val="32"/>
          <w:highlight w:val="none"/>
          <w:lang w:eastAsia="zh-TW"/>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中华人民共和国土地管理法</w:t>
      </w:r>
      <w:r>
        <w:rPr>
          <w:rFonts w:hint="eastAsia" w:ascii="仿宋_GB2312" w:hAnsi="仿宋_GB2312" w:eastAsia="仿宋_GB2312" w:cs="仿宋_GB2312"/>
          <w:color w:val="000000" w:themeColor="text1"/>
          <w:sz w:val="32"/>
          <w:szCs w:val="32"/>
          <w:highlight w:val="none"/>
          <w:lang w:eastAsia="zh-TW"/>
          <w14:textFill>
            <w14:solidFill>
              <w14:schemeClr w14:val="tx1"/>
            </w14:solidFill>
          </w14:textFill>
        </w:rPr>
        <w:t>实施条例》</w:t>
      </w:r>
      <w:r>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t>等法律法规的</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有</w:t>
      </w:r>
      <w:r>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t>关规定</w:t>
      </w:r>
      <w:r>
        <w:rPr>
          <w:rFonts w:hint="eastAsia" w:ascii="仿宋_GB2312" w:hAnsi="仿宋_GB2312" w:eastAsia="仿宋_GB2312" w:cs="仿宋_GB2312"/>
          <w:color w:val="000000" w:themeColor="text1"/>
          <w:kern w:val="2"/>
          <w:sz w:val="32"/>
          <w:szCs w:val="32"/>
          <w:highlight w:val="none"/>
          <w:lang w:eastAsia="zh-TW"/>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eastAsia="zh-CN"/>
          <w14:textFill>
            <w14:solidFill>
              <w14:schemeClr w14:val="tx1"/>
            </w14:solidFill>
          </w14:textFill>
        </w:rPr>
        <w:t>盘州市2024年度第十批次城镇建设用地</w:t>
      </w:r>
      <w:r>
        <w:rPr>
          <w:rFonts w:hint="eastAsia" w:ascii="仿宋_GB2312" w:hAnsi="仿宋_GB2312" w:eastAsia="仿宋_GB2312" w:cs="仿宋_GB2312"/>
          <w:color w:val="000000" w:themeColor="text1"/>
          <w:sz w:val="32"/>
          <w:szCs w:val="32"/>
          <w:highlight w:val="none"/>
          <w14:textFill>
            <w14:solidFill>
              <w14:schemeClr w14:val="tx1"/>
            </w14:solidFill>
          </w14:textFill>
        </w:rPr>
        <w:t>农用地转用和</w:t>
      </w:r>
      <w:r>
        <w:rPr>
          <w:rFonts w:hint="eastAsia" w:ascii="仿宋_GB2312" w:hAnsi="仿宋_GB2312" w:eastAsia="仿宋_GB2312" w:cs="仿宋_GB2312"/>
          <w:color w:val="000000" w:themeColor="text1"/>
          <w:kern w:val="2"/>
          <w:sz w:val="32"/>
          <w:szCs w:val="32"/>
          <w:highlight w:val="none"/>
          <w:lang w:eastAsia="zh-TW"/>
          <w14:textFill>
            <w14:solidFill>
              <w14:schemeClr w14:val="tx1"/>
            </w14:solidFill>
          </w14:textFill>
        </w:rPr>
        <w:t>土地征收符合法律规定的公共利益情形，盘州市已依法完成土地征收前期工作</w:t>
      </w:r>
      <w:r>
        <w:rPr>
          <w:rFonts w:hint="eastAsia" w:ascii="仿宋_GB2312" w:hAnsi="仿宋_GB2312" w:eastAsia="仿宋_GB2312" w:cs="仿宋_GB2312"/>
          <w:color w:val="000000" w:themeColor="text1"/>
          <w:sz w:val="32"/>
          <w:szCs w:val="32"/>
          <w:highlight w:val="none"/>
          <w:lang w:eastAsia="zh-TW"/>
          <w14:textFill>
            <w14:solidFill>
              <w14:schemeClr w14:val="tx1"/>
            </w14:solidFill>
          </w14:textFill>
        </w:rPr>
        <w:t>，拟</w:t>
      </w:r>
      <w:r>
        <w:rPr>
          <w:rFonts w:hint="eastAsia" w:ascii="仿宋_GB2312" w:hAnsi="仿宋_GB2312" w:eastAsia="仿宋_GB2312" w:cs="仿宋_GB2312"/>
          <w:color w:val="000000" w:themeColor="text1"/>
          <w:sz w:val="32"/>
          <w:szCs w:val="32"/>
          <w:highlight w:val="none"/>
          <w14:textFill>
            <w14:solidFill>
              <w14:schemeClr w14:val="tx1"/>
            </w14:solidFill>
          </w14:textFill>
        </w:rPr>
        <w:t>定</w:t>
      </w:r>
      <w:r>
        <w:rPr>
          <w:rFonts w:hint="eastAsia" w:ascii="仿宋_GB2312" w:hAnsi="仿宋_GB2312" w:eastAsia="仿宋_GB2312" w:cs="仿宋_GB2312"/>
          <w:color w:val="000000" w:themeColor="text1"/>
          <w:sz w:val="32"/>
          <w:szCs w:val="32"/>
          <w:highlight w:val="none"/>
          <w:lang w:eastAsia="zh-TW"/>
          <w14:textFill>
            <w14:solidFill>
              <w14:schemeClr w14:val="tx1"/>
            </w14:solidFill>
          </w14:textFill>
        </w:rPr>
        <w:t>农用地转用方案，</w:t>
      </w:r>
      <w:r>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t>用地符合节约集约</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有关</w:t>
      </w:r>
      <w:r>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t>规定，征地补偿安置符合规定要求，</w:t>
      </w:r>
      <w:r>
        <w:rPr>
          <w:rFonts w:hint="eastAsia" w:ascii="仿宋_GB2312" w:hAnsi="仿宋_GB2312" w:eastAsia="仿宋_GB2312" w:cs="仿宋_GB2312"/>
          <w:color w:val="000000" w:themeColor="text1"/>
          <w:sz w:val="32"/>
          <w:szCs w:val="32"/>
          <w:highlight w:val="none"/>
          <w:lang w:eastAsia="zh-TW"/>
          <w14:textFill>
            <w14:solidFill>
              <w14:schemeClr w14:val="tx1"/>
            </w14:solidFill>
          </w14:textFill>
        </w:rPr>
        <w:t>确需办理农用地转用并征收土地</w:t>
      </w:r>
      <w:r>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t>。现具体说明如下：</w:t>
      </w:r>
    </w:p>
    <w:p w14:paraId="0CB16300">
      <w:pPr>
        <w:numPr>
          <w:ilvl w:val="0"/>
          <w:numId w:val="1"/>
        </w:numPr>
        <w:spacing w:line="578" w:lineRule="exact"/>
        <w:ind w:firstLine="640" w:firstLineChars="200"/>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基本情况</w:t>
      </w:r>
    </w:p>
    <w:p w14:paraId="0C2FAE27">
      <w:pPr>
        <w:spacing w:line="578" w:lineRule="exact"/>
        <w:ind w:firstLine="640" w:firstLineChars="200"/>
        <w:rPr>
          <w:rFonts w:hint="default"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该批次用地总面积</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6.5533</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公顷，其中农用地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5.2818</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公顷（耕地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3.8491</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〈水田0.9376公顷，旱地2.9115公顷〉</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、园地0.4084</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公顷、林地0.4748公顷、其他农用地0.5495公顷</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建设用地0.1752公顷、未利用地1.0963公顷</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p>
    <w:p w14:paraId="6F2A2D98">
      <w:pPr>
        <w:spacing w:line="578" w:lineRule="exact"/>
        <w:ind w:firstLine="640" w:firstLineChars="200"/>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拟申请将</w:t>
      </w:r>
      <w:r>
        <w:rPr>
          <w:rFonts w:hint="eastAsia" w:ascii="仿宋_GB2312" w:hAnsi="仿宋_GB2312" w:eastAsia="仿宋_GB2312" w:cs="仿宋_GB2312"/>
          <w:color w:val="000000" w:themeColor="text1"/>
          <w:sz w:val="32"/>
          <w:szCs w:val="32"/>
          <w:highlight w:val="none"/>
          <w14:textFill>
            <w14:solidFill>
              <w14:schemeClr w14:val="tx1"/>
            </w14:solidFill>
          </w14:textFill>
        </w:rPr>
        <w:t>农用地</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5.2818</w:t>
      </w:r>
      <w:r>
        <w:rPr>
          <w:rFonts w:hint="eastAsia" w:ascii="仿宋_GB2312" w:hAnsi="仿宋_GB2312" w:eastAsia="仿宋_GB2312" w:cs="仿宋_GB2312"/>
          <w:color w:val="000000" w:themeColor="text1"/>
          <w:sz w:val="32"/>
          <w:szCs w:val="32"/>
          <w:highlight w:val="none"/>
          <w14:textFill>
            <w14:solidFill>
              <w14:schemeClr w14:val="tx1"/>
            </w14:solidFill>
          </w14:textFill>
        </w:rPr>
        <w:t>公顷</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耕地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3.8491</w:t>
      </w:r>
      <w:r>
        <w:rPr>
          <w:rFonts w:hint="eastAsia" w:ascii="仿宋_GB2312" w:hAnsi="仿宋_GB2312" w:eastAsia="仿宋_GB2312" w:cs="仿宋_GB2312"/>
          <w:color w:val="000000" w:themeColor="text1"/>
          <w:sz w:val="32"/>
          <w:szCs w:val="32"/>
          <w:highlight w:val="none"/>
          <w14:textFill>
            <w14:solidFill>
              <w14:schemeClr w14:val="tx1"/>
            </w14:solidFill>
          </w14:textFill>
        </w:rPr>
        <w:t>公顷</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〈水田0.9376公顷，旱地2.9115公顷〉</w:t>
      </w:r>
      <w:r>
        <w:rPr>
          <w:rFonts w:hint="eastAsia" w:ascii="仿宋_GB2312" w:hAnsi="仿宋_GB2312" w:eastAsia="仿宋_GB2312" w:cs="仿宋_GB2312"/>
          <w:color w:val="000000" w:themeColor="text1"/>
          <w:sz w:val="32"/>
          <w:szCs w:val="32"/>
          <w:highlight w:val="none"/>
          <w14:textFill>
            <w14:solidFill>
              <w14:schemeClr w14:val="tx1"/>
            </w14:solidFill>
          </w14:textFill>
        </w:rPr>
        <w:t>、不涉及永久基本农田</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未利用地1.0963公顷</w:t>
      </w:r>
      <w:r>
        <w:rPr>
          <w:rFonts w:hint="eastAsia" w:ascii="仿宋_GB2312" w:hAnsi="仿宋_GB2312" w:eastAsia="仿宋_GB2312" w:cs="仿宋_GB2312"/>
          <w:color w:val="000000" w:themeColor="text1"/>
          <w:sz w:val="32"/>
          <w:szCs w:val="32"/>
          <w:highlight w:val="none"/>
          <w14:textFill>
            <w14:solidFill>
              <w14:schemeClr w14:val="tx1"/>
            </w14:solidFill>
          </w14:textFill>
        </w:rPr>
        <w:t>转为建设用地。</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拟申请征收农民集体土地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6.5533</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公顷，其中：农用地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5.2818</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公顷（耕地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3.8491</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〈水田0.9376公顷，旱地2.9115公顷〉</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、园地0.4084</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公顷、林地0.4748公顷、其他农用地0.5495公顷</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建设用地0.1752公顷、未利用地1.0963公顷。</w:t>
      </w:r>
    </w:p>
    <w:p w14:paraId="469DBD4E">
      <w:pPr>
        <w:spacing w:line="578"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该批次用地不占用永久基本农田。拟申请征收土地涉及</w:t>
      </w:r>
      <w:r>
        <w:rPr>
          <w:rFonts w:hint="eastAsia" w:ascii="仿宋_GB2312" w:hAnsi="仿宋_GB2312" w:eastAsia="仿宋_GB2312" w:cs="仿宋_GB2312"/>
          <w:snapToGrid w:val="0"/>
          <w:color w:val="000000" w:themeColor="text1"/>
          <w:kern w:val="0"/>
          <w:sz w:val="32"/>
          <w:szCs w:val="22"/>
          <w:highlight w:val="none"/>
          <w:lang w:val="en-US" w:eastAsia="zh-CN"/>
          <w14:textFill>
            <w14:solidFill>
              <w14:schemeClr w14:val="tx1"/>
            </w14:solidFill>
          </w14:textFill>
        </w:rPr>
        <w:t>盘州市保田镇上保田村，红果街道下沙居委会、舍勒居委会</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个镇（街道）3个村（居）</w:t>
      </w:r>
      <w:r>
        <w:rPr>
          <w:rFonts w:hint="eastAsia" w:ascii="仿宋_GB2312" w:hAnsi="仿宋_GB2312" w:eastAsia="仿宋_GB2312" w:cs="仿宋_GB2312"/>
          <w:color w:val="000000" w:themeColor="text1"/>
          <w:sz w:val="32"/>
          <w:szCs w:val="32"/>
          <w:highlight w:val="none"/>
          <w14:textFill>
            <w14:solidFill>
              <w14:schemeClr w14:val="tx1"/>
            </w14:solidFill>
          </w14:textFill>
        </w:rPr>
        <w:t>，共</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14:textFill>
            <w14:solidFill>
              <w14:schemeClr w14:val="tx1"/>
            </w14:solidFill>
          </w14:textFill>
        </w:rPr>
        <w:t>宗地，土地产权明晰，界址清楚，没有争议。</w:t>
      </w:r>
    </w:p>
    <w:p w14:paraId="2C7439EC">
      <w:pPr>
        <w:spacing w:line="578" w:lineRule="exact"/>
        <w:ind w:firstLine="640" w:firstLineChars="200"/>
        <w:rPr>
          <w:rFonts w:hint="eastAsia" w:ascii="仿宋_GB2312" w:hAnsi="仿宋_GB2312" w:eastAsia="仿宋_GB2312" w:cs="仿宋_GB2312"/>
          <w:color w:val="000000" w:themeColor="text1"/>
          <w:kern w:val="0"/>
          <w:sz w:val="32"/>
          <w:szCs w:val="32"/>
          <w:highlight w:val="none"/>
          <w:u w:val="singl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该批次用地不位于各级自然保护区、不位于生态保护红线范围内；该批次用地全部位于城镇开发边界，已与规划用地布局做好衔接，申报的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交通运输用地</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用途符合规划用途，项目建设不影响国土空间规划实施。</w:t>
      </w:r>
      <w:r>
        <w:rPr>
          <w:rFonts w:hint="eastAsia" w:ascii="仿宋_GB2312" w:hAnsi="仿宋_GB2312" w:eastAsia="仿宋_GB2312" w:cs="仿宋_GB2312"/>
          <w:color w:val="000000" w:themeColor="text1"/>
          <w:kern w:val="0"/>
          <w:sz w:val="32"/>
          <w:szCs w:val="32"/>
          <w:highlight w:val="none"/>
          <w:u w:val="none"/>
          <w14:textFill>
            <w14:solidFill>
              <w14:schemeClr w14:val="tx1"/>
            </w14:solidFill>
          </w14:textFill>
        </w:rPr>
        <w:t>该批次用地不涉及世界自然遗产地、饮用水水源地、历史文化名镇名村核心保护范围、文物保护单位保护范围和建设控制地带。</w:t>
      </w:r>
    </w:p>
    <w:p w14:paraId="01DECB62">
      <w:pPr>
        <w:spacing w:line="578" w:lineRule="exact"/>
        <w:ind w:firstLine="640" w:firstLineChars="200"/>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二、征收土地符合公共利益情况</w:t>
      </w:r>
    </w:p>
    <w:p w14:paraId="5B2D2E5D">
      <w:pPr>
        <w:spacing w:line="578" w:lineRule="exact"/>
        <w:ind w:firstLine="640" w:firstLineChars="200"/>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盘州市认为该批次用地符合《中华人民共和国土地管理法》第四十五条规定的公共利益情形。该批次用地符合《盘州市国民经济和社会发展第十四个五年规划和二O三五年远景目标纲要》</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均位于城镇建设用地范围，符合贵州省国土空间规划委员会办公室正组织开展联合审查的《盘州市国土空间总体规划（2021</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2035年）》，有关部门和单位对项目用地无颠覆性意见，省级人民政府已出具国土空间规划符合性评估意见。申报的</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交通运输用地</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用途符合规划用途，盘州市人民政府确保将该批次用地布局和规模统筹纳入依法批准的规划期至2035年的盘州市国土空间总体规划及“一张图”。</w:t>
      </w:r>
    </w:p>
    <w:p w14:paraId="59A57CD4">
      <w:pPr>
        <w:spacing w:line="578" w:lineRule="exact"/>
        <w:ind w:firstLine="640" w:firstLineChars="200"/>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该批次</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交通运输用地</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符合</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《中华人民共和国土地管理法》</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第四十五条</w:t>
      </w:r>
      <w:r>
        <w:rPr>
          <w:rFonts w:hint="default" w:ascii="Times New Roman" w:hAnsi="Times New Roman" w:eastAsia="仿宋_GB2312" w:cs="Times New Roman"/>
          <w:b w:val="0"/>
          <w:bCs w:val="0"/>
          <w:i w:val="0"/>
          <w:caps w:val="0"/>
          <w:color w:val="000000" w:themeColor="text1"/>
          <w:spacing w:val="0"/>
          <w:sz w:val="32"/>
          <w:szCs w:val="32"/>
          <w:highlight w:val="none"/>
          <w:shd w:val="clear" w:color="auto" w:fill="FFFFFF"/>
          <w:lang w:val="en-US" w:eastAsia="zh-CN"/>
          <w14:textFill>
            <w14:solidFill>
              <w14:schemeClr w14:val="tx1"/>
            </w14:solidFill>
          </w14:textFill>
        </w:rPr>
        <w:t>第</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二</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）项规定，属于交通类建设活动，为完善交通网络布局，强化节点衔接，提高交通通畅水平，</w:t>
      </w:r>
      <w:r>
        <w:rPr>
          <w:rFonts w:hint="eastAsia" w:ascii="仿宋_GB2312" w:hAnsi="仿宋_GB2312" w:eastAsia="仿宋_GB2312" w:cs="仿宋_GB2312"/>
          <w:color w:val="000000" w:themeColor="text1"/>
          <w:sz w:val="32"/>
          <w:szCs w:val="32"/>
          <w:highlight w:val="none"/>
          <w14:textFill>
            <w14:solidFill>
              <w14:schemeClr w14:val="tx1"/>
            </w14:solidFill>
          </w14:textFill>
        </w:rPr>
        <w:t>确需征收农民集体所有土地</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p>
    <w:p w14:paraId="07805F8C">
      <w:pPr>
        <w:spacing w:line="578" w:lineRule="exact"/>
        <w:ind w:firstLine="640" w:firstLineChars="200"/>
        <w:rPr>
          <w:rFonts w:ascii="Times New Roman" w:hAnsi="Times New Roman" w:eastAsia="仿宋_GB2312" w:cs="仿宋_GB2312"/>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三、征地前期工作完成情况</w:t>
      </w:r>
      <w:r>
        <w:rPr>
          <w:rFonts w:hint="eastAsia" w:ascii="Times New Roman" w:hAnsi="Times New Roman" w:eastAsia="仿宋_GB2312" w:cs="仿宋_GB2312"/>
          <w:color w:val="000000" w:themeColor="text1"/>
          <w:sz w:val="32"/>
          <w:szCs w:val="32"/>
          <w:highlight w:val="none"/>
          <w14:textFill>
            <w14:solidFill>
              <w14:schemeClr w14:val="tx1"/>
            </w14:solidFill>
          </w14:textFill>
        </w:rPr>
        <mc:AlternateContent>
          <mc:Choice Requires="wpg">
            <w:drawing>
              <wp:anchor distT="0" distB="0" distL="114300" distR="114300" simplePos="0" relativeHeight="251660288" behindDoc="1" locked="0" layoutInCell="1" allowOverlap="1">
                <wp:simplePos x="0" y="0"/>
                <wp:positionH relativeFrom="page">
                  <wp:posOffset>0</wp:posOffset>
                </wp:positionH>
                <wp:positionV relativeFrom="page">
                  <wp:posOffset>635</wp:posOffset>
                </wp:positionV>
                <wp:extent cx="3766820" cy="1270"/>
                <wp:effectExtent l="0" t="0" r="0" b="0"/>
                <wp:wrapNone/>
                <wp:docPr id="7" name="组合 7"/>
                <wp:cNvGraphicFramePr/>
                <a:graphic xmlns:a="http://schemas.openxmlformats.org/drawingml/2006/main">
                  <a:graphicData uri="http://schemas.microsoft.com/office/word/2010/wordprocessingGroup">
                    <wpg:wgp>
                      <wpg:cNvGrpSpPr/>
                      <wpg:grpSpPr>
                        <a:xfrm>
                          <a:off x="0" y="0"/>
                          <a:ext cx="3766820" cy="1270"/>
                          <a:chOff x="0" y="2"/>
                          <a:chExt cx="5933" cy="2"/>
                        </a:xfrm>
                      </wpg:grpSpPr>
                      <wps:wsp>
                        <wps:cNvPr id="12" name="任意多边形 2"/>
                        <wps:cNvSpPr/>
                        <wps:spPr>
                          <a:xfrm>
                            <a:off x="0" y="2"/>
                            <a:ext cx="5933" cy="2"/>
                          </a:xfrm>
                          <a:custGeom>
                            <a:avLst/>
                            <a:gdLst/>
                            <a:ahLst/>
                            <a:cxnLst/>
                            <a:rect l="0" t="0" r="0" b="0"/>
                            <a:pathLst>
                              <a:path w="5933">
                                <a:moveTo>
                                  <a:pt x="0" y="0"/>
                                </a:moveTo>
                                <a:lnTo>
                                  <a:pt x="5933" y="0"/>
                                </a:lnTo>
                              </a:path>
                            </a:pathLst>
                          </a:custGeom>
                          <a:noFill/>
                          <a:ln w="2286" cap="flat" cmpd="sng">
                            <a:solidFill>
                              <a:srgbClr val="34443F"/>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0pt;margin-top:0.05pt;height:0.1pt;width:296.6pt;mso-position-horizontal-relative:page;mso-position-vertical-relative:page;z-index:-251656192;mso-width-relative:page;mso-height-relative:page;" coordorigin="0,2" coordsize="5933,2" o:gfxdata="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AAAAAGRycy9QSwECFAAUAAAACACHTuJAAB9/dtMA&#10;AAACAQAADwAAAAAAAAABACAAAAAiAAAAZHJzL2Rvd25yZXYueG1sUEsBAhQAFAAAAAgAh07iQDqi&#10;zMGWAgAAxgUAAA4AAAAAAAAAAQAgAAAAIgEAAGRycy9lMm9Eb2MueG1sUEsFBgAAAAAGAAYAWQEA&#10;ACoGAAAAAA==&#10;">
                <o:lock v:ext="edit" aspectratio="f"/>
                <v:shape id="任意多边形 2" o:spid="_x0000_s1026" o:spt="100" style="position:absolute;left:0;top:2;height:2;width:5933;" filled="f" stroked="t" coordsize="5933,1" o:gfxdata="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MDU8LsAAADb&#10;AAAADwAAAAAAAAABACAAAAAiAAAAZHJzL2Rvd25yZXYueG1sUEsBAhQAFAAAAAgAh07iQDMvBZ47&#10;AAAAOQAAABAAAAAAAAAAAQAgAAAACgEAAGRycy9zaGFwZXhtbC54bWxQSwUGAAAAAAYABgBbAQAA&#10;tAMAAAAA&#10;" path="m0,0l5933,0e">
                  <v:fill on="f" focussize="0,0"/>
                  <v:stroke weight="0.18pt" color="#34443F" joinstyle="round"/>
                  <v:imagedata o:title=""/>
                  <o:lock v:ext="edit" aspectratio="f"/>
                </v:shape>
              </v:group>
            </w:pict>
          </mc:Fallback>
        </mc:AlternateContent>
      </w:r>
    </w:p>
    <w:p w14:paraId="62DE21F9">
      <w:pPr>
        <w:spacing w:line="578" w:lineRule="exact"/>
        <w:ind w:firstLine="640" w:firstLineChars="200"/>
        <w:rPr>
          <w:rFonts w:ascii="Times New Roman" w:hAnsi="Times New Roman" w:eastAsia="仿宋_GB2312" w:cs="仿宋_GB2312"/>
          <w:color w:val="000000" w:themeColor="text1"/>
          <w:kern w:val="0"/>
          <w:sz w:val="32"/>
          <w:szCs w:val="32"/>
          <w:highlight w:val="none"/>
          <w14:textFill>
            <w14:solidFill>
              <w14:schemeClr w14:val="tx1"/>
            </w14:solidFill>
          </w14:textFill>
        </w:rPr>
      </w:pPr>
      <w:r>
        <w:rPr>
          <w:rFonts w:hint="eastAsia" w:ascii="Times New Roman" w:hAnsi="Times New Roman" w:eastAsia="仿宋_GB2312" w:cs="仿宋_GB2312"/>
          <w:color w:val="000000" w:themeColor="text1"/>
          <w:kern w:val="0"/>
          <w:sz w:val="32"/>
          <w:szCs w:val="32"/>
          <w:highlight w:val="none"/>
          <w14:textFill>
            <w14:solidFill>
              <w14:schemeClr w14:val="tx1"/>
            </w14:solidFill>
          </w14:textFill>
        </w:rPr>
        <w:t>盘州市已按规定对拟征收土地依法履行了征收土地前期程序。</w:t>
      </w:r>
    </w:p>
    <w:p w14:paraId="034ED3A8">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rPr>
          <w:rFonts w:hint="eastAsia" w:ascii="Times New Roman" w:hAnsi="Times New Roman" w:eastAsia="仿宋_GB2312" w:cs="仿宋_GB2312"/>
          <w:color w:val="000000" w:themeColor="text1"/>
          <w:kern w:val="0"/>
          <w:sz w:val="32"/>
          <w:szCs w:val="32"/>
          <w14:textFill>
            <w14:solidFill>
              <w14:schemeClr w14:val="tx1"/>
            </w14:solidFill>
          </w14:textFill>
        </w:rPr>
      </w:pPr>
      <w:r>
        <w:rPr>
          <w:rFonts w:hint="eastAsia" w:ascii="楷体" w:hAnsi="楷体" w:eastAsia="楷体" w:cs="楷体"/>
          <w:bCs/>
          <w:color w:val="000000" w:themeColor="text1"/>
          <w:sz w:val="32"/>
          <w:szCs w:val="32"/>
          <w:highlight w:val="none"/>
          <w14:textFill>
            <w14:solidFill>
              <w14:schemeClr w14:val="tx1"/>
            </w14:solidFill>
          </w14:textFill>
        </w:rPr>
        <w:t>（一）征收土地预公告。</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盘州市已按规定于202</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年1</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0</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9</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日</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至</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年1</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0</w:t>
      </w:r>
      <w:r>
        <w:rPr>
          <w:rFonts w:hint="eastAsia" w:ascii="仿宋_GB2312" w:hAnsi="仿宋_GB2312" w:eastAsia="仿宋_GB2312" w:cs="仿宋_GB2312"/>
          <w:color w:val="000000" w:themeColor="text1"/>
          <w:kern w:val="2"/>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kern w:val="0"/>
          <w:sz w:val="32"/>
          <w:szCs w:val="32"/>
          <w:highlight w:val="none"/>
          <w:u w:val="none"/>
          <w:lang w:val="en-US" w:eastAsia="zh-CN"/>
          <w14:textFill>
            <w14:solidFill>
              <w14:schemeClr w14:val="tx1"/>
            </w14:solidFill>
          </w14:textFill>
        </w:rPr>
        <w:t>23</w:t>
      </w:r>
      <w:r>
        <w:rPr>
          <w:rFonts w:hint="eastAsia" w:ascii="仿宋_GB2312" w:hAnsi="仿宋_GB2312" w:eastAsia="仿宋_GB2312" w:cs="仿宋_GB2312"/>
          <w:color w:val="000000" w:themeColor="text1"/>
          <w:kern w:val="2"/>
          <w:sz w:val="32"/>
          <w:szCs w:val="32"/>
          <w:highlight w:val="none"/>
          <w:u w:val="none"/>
          <w14:textFill>
            <w14:solidFill>
              <w14:schemeClr w14:val="tx1"/>
            </w14:solidFill>
          </w14:textFill>
        </w:rPr>
        <w:t>日（共计</w:t>
      </w:r>
      <w:r>
        <w:rPr>
          <w:rFonts w:hint="eastAsia" w:ascii="仿宋_GB2312" w:hAnsi="仿宋_GB2312" w:eastAsia="仿宋_GB2312" w:cs="仿宋_GB2312"/>
          <w:color w:val="000000" w:themeColor="text1"/>
          <w:kern w:val="2"/>
          <w:sz w:val="32"/>
          <w:szCs w:val="32"/>
          <w:highlight w:val="none"/>
          <w:u w:val="none"/>
          <w:lang w:val="en-US" w:eastAsia="zh-CN"/>
          <w14:textFill>
            <w14:solidFill>
              <w14:schemeClr w14:val="tx1"/>
            </w14:solidFill>
          </w14:textFill>
        </w:rPr>
        <w:t>11</w:t>
      </w:r>
      <w:r>
        <w:rPr>
          <w:rFonts w:hint="eastAsia" w:ascii="仿宋_GB2312" w:hAnsi="仿宋_GB2312" w:eastAsia="仿宋_GB2312" w:cs="仿宋_GB2312"/>
          <w:color w:val="000000" w:themeColor="text1"/>
          <w:kern w:val="2"/>
          <w:sz w:val="32"/>
          <w:szCs w:val="32"/>
          <w:highlight w:val="none"/>
          <w14:textFill>
            <w14:solidFill>
              <w14:schemeClr w14:val="tx1"/>
            </w14:solidFill>
          </w14:textFill>
        </w:rPr>
        <w:t>个工作日）在拟</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征收土地所在地的</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镇（</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街道</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和</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村（居）</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eastAsia" w:ascii="Times New Roman" w:hAnsi="Times New Roman" w:eastAsia="仿宋_GB2312" w:cs="仿宋_GB2312"/>
          <w:b w:val="0"/>
          <w:bCs w:val="0"/>
          <w:color w:val="000000" w:themeColor="text1"/>
          <w:sz w:val="32"/>
          <w:szCs w:val="32"/>
          <w14:textFill>
            <w14:solidFill>
              <w14:schemeClr w14:val="tx1"/>
            </w14:solidFill>
          </w14:textFill>
        </w:rPr>
        <w:t>村民小组</w:t>
      </w:r>
      <w:r>
        <w:rPr>
          <w:rFonts w:hint="eastAsia" w:ascii="Times New Roman" w:hAnsi="Times New Roman" w:eastAsia="仿宋_GB2312" w:cs="仿宋_GB2312"/>
          <w:b w:val="0"/>
          <w:bCs w:val="0"/>
          <w:color w:val="000000" w:themeColor="text1"/>
          <w:sz w:val="32"/>
          <w:szCs w:val="32"/>
          <w:lang w:val="en-US" w:eastAsia="zh-CN"/>
          <w14:textFill>
            <w14:solidFill>
              <w14:schemeClr w14:val="tx1"/>
            </w14:solidFill>
          </w14:textFill>
        </w:rPr>
        <w:t>通过</w:t>
      </w:r>
      <w:r>
        <w:rPr>
          <w:rFonts w:hint="eastAsia" w:ascii="Times New Roman" w:hAnsi="Times New Roman" w:eastAsia="仿宋_GB2312" w:cs="仿宋_GB2312"/>
          <w:b w:val="0"/>
          <w:bCs w:val="0"/>
          <w:color w:val="000000" w:themeColor="text1"/>
          <w:sz w:val="32"/>
          <w:szCs w:val="32"/>
          <w14:textFill>
            <w14:solidFill>
              <w14:schemeClr w14:val="tx1"/>
            </w14:solidFill>
          </w14:textFill>
        </w:rPr>
        <w:t>村公示栏发布了拟征收土地预公告。</w:t>
      </w:r>
      <w:r>
        <w:rPr>
          <w:rFonts w:hint="eastAsia" w:ascii="Times New Roman" w:hAnsi="Times New Roman" w:eastAsia="仿宋_GB2312" w:cs="仿宋_GB2312"/>
          <w:b w:val="0"/>
          <w:bCs w:val="0"/>
          <w:color w:val="000000" w:themeColor="text1"/>
          <w:sz w:val="32"/>
          <w:szCs w:val="32"/>
          <w14:textFill>
            <w14:solidFill>
              <w14:schemeClr w14:val="tx1"/>
            </w14:solidFill>
          </w14:textFill>
        </w:rPr>
        <w:t>公告包括征收土地范围、征收目的、开展土地现状调查的安排等内容</w:t>
      </w:r>
      <w:r>
        <w:rPr>
          <w:rFonts w:hint="eastAsia" w:ascii="Times New Roman" w:hAnsi="Times New Roman" w:eastAsia="仿宋_GB2312" w:cs="仿宋_GB2312"/>
          <w:color w:val="000000" w:themeColor="text1"/>
          <w:kern w:val="0"/>
          <w:sz w:val="32"/>
          <w:szCs w:val="32"/>
          <w14:textFill>
            <w14:solidFill>
              <w14:schemeClr w14:val="tx1"/>
            </w14:solidFill>
          </w14:textFill>
        </w:rPr>
        <w:t>。</w:t>
      </w:r>
    </w:p>
    <w:p w14:paraId="2F7CFBD0">
      <w:pPr>
        <w:spacing w:line="578" w:lineRule="exact"/>
        <w:ind w:firstLine="640" w:firstLineChars="200"/>
        <w:rPr>
          <w:rFonts w:ascii="Times New Roman" w:hAnsi="Times New Roman" w:eastAsia="仿宋_GB2312" w:cs="仿宋_GB2312"/>
          <w:color w:val="000000" w:themeColor="text1"/>
          <w:kern w:val="0"/>
          <w:sz w:val="32"/>
          <w:szCs w:val="32"/>
          <w:highlight w:val="none"/>
          <w14:textFill>
            <w14:solidFill>
              <w14:schemeClr w14:val="tx1"/>
            </w14:solidFill>
          </w14:textFill>
        </w:rPr>
      </w:pPr>
      <w:r>
        <w:rPr>
          <w:rFonts w:hint="eastAsia" w:ascii="楷体" w:hAnsi="楷体" w:eastAsia="楷体" w:cs="楷体"/>
          <w:bCs/>
          <w:color w:val="000000" w:themeColor="text1"/>
          <w:sz w:val="32"/>
          <w:szCs w:val="32"/>
          <w:highlight w:val="none"/>
          <w14:textFill>
            <w14:solidFill>
              <w14:schemeClr w14:val="tx1"/>
            </w14:solidFill>
          </w14:textFill>
        </w:rPr>
        <w:t>（二）土地现状调查。</w:t>
      </w:r>
      <w:r>
        <w:rPr>
          <w:rFonts w:hint="eastAsia" w:ascii="Times New Roman" w:hAnsi="Times New Roman" w:eastAsia="仿宋_GB2312" w:cs="仿宋_GB2312"/>
          <w:color w:val="000000" w:themeColor="text1"/>
          <w:kern w:val="0"/>
          <w:sz w:val="32"/>
          <w:szCs w:val="32"/>
          <w:highlight w:val="none"/>
          <w14:textFill>
            <w14:solidFill>
              <w14:schemeClr w14:val="tx1"/>
            </w14:solidFill>
          </w14:textFill>
        </w:rPr>
        <w:t>盘州市按规定完成了土地现状调查，</w:t>
      </w:r>
      <w:r>
        <w:rPr>
          <w:rFonts w:hint="eastAsia" w:ascii="Times New Roman" w:hAnsi="Times New Roman" w:eastAsia="仿宋_GB2312" w:cs="仿宋_GB2312"/>
          <w:color w:val="000000" w:themeColor="text1"/>
          <w:sz w:val="32"/>
          <w:szCs w:val="32"/>
          <w:highlight w:val="none"/>
          <w14:textFill>
            <w14:solidFill>
              <w14:schemeClr w14:val="tx1"/>
            </w14:solidFill>
          </w14:textFill>
        </w:rPr>
        <w:t>已查明拟征收土地的位置、权属、地类、面积，以及农村村民住宅、</w:t>
      </w:r>
      <w:r>
        <w:rPr>
          <w:rFonts w:hint="eastAsia" w:ascii="Times New Roman" w:hAnsi="Times New Roman" w:eastAsia="仿宋_GB2312" w:cs="仿宋_GB2312"/>
          <w:color w:val="000000" w:themeColor="text1"/>
          <w:kern w:val="0"/>
          <w:sz w:val="32"/>
          <w:szCs w:val="32"/>
          <w:highlight w:val="none"/>
          <w14:textFill>
            <w14:solidFill>
              <w14:schemeClr w14:val="tx1"/>
            </w14:solidFill>
          </w14:textFill>
        </w:rPr>
        <w:t>其他</w:t>
      </w:r>
      <w:r>
        <w:rPr>
          <w:rFonts w:hint="eastAsia" w:ascii="Times New Roman" w:hAnsi="Times New Roman" w:eastAsia="仿宋_GB2312" w:cs="仿宋_GB2312"/>
          <w:color w:val="000000" w:themeColor="text1"/>
          <w:sz w:val="32"/>
          <w:szCs w:val="32"/>
          <w:highlight w:val="none"/>
          <w14:textFill>
            <w14:solidFill>
              <w14:schemeClr w14:val="tx1"/>
            </w14:solidFill>
          </w14:textFill>
        </w:rPr>
        <w:t>地上附着物和青苗等的权属、种类、数量等情况，填写了相关调查确认表，并由所有权人、使用权人签字确认。</w:t>
      </w:r>
    </w:p>
    <w:p w14:paraId="68D528B6">
      <w:pPr>
        <w:spacing w:line="578" w:lineRule="exact"/>
        <w:ind w:firstLine="640" w:firstLineChars="200"/>
        <w:rPr>
          <w:rFonts w:ascii="Times New Roman" w:hAnsi="Times New Roman" w:eastAsia="仿宋_GB2312" w:cs="仿宋_GB2312"/>
          <w:color w:val="000000" w:themeColor="text1"/>
          <w:kern w:val="0"/>
          <w:sz w:val="32"/>
          <w:szCs w:val="32"/>
          <w:highlight w:val="none"/>
          <w14:textFill>
            <w14:solidFill>
              <w14:schemeClr w14:val="tx1"/>
            </w14:solidFill>
          </w14:textFill>
        </w:rPr>
      </w:pPr>
      <w:r>
        <w:rPr>
          <w:rFonts w:hint="eastAsia" w:ascii="楷体" w:hAnsi="楷体" w:eastAsia="楷体" w:cs="楷体"/>
          <w:bCs/>
          <w:color w:val="000000" w:themeColor="text1"/>
          <w:sz w:val="32"/>
          <w:szCs w:val="32"/>
          <w:highlight w:val="none"/>
          <w14:textFill>
            <w14:solidFill>
              <w14:schemeClr w14:val="tx1"/>
            </w14:solidFill>
          </w14:textFill>
        </w:rPr>
        <w:t>（三）社会稳定风险评估。</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盘州市按规定完成了社会稳定风险评估，盘州</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市委</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政法委员会于202</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年1</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0</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25</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日</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通过了</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土地征收社会稳定风险评估报告并备案，经评估风险等级为低风险，确定了</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六</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个风险点，分别为</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决策事项合法性及合理性遭质疑的风险、决策事项可能引发群众抵制征收的风险、土地征收补偿不合理引发群众抵制征收的风险、决策事项可能衍生环境破坏的风险、项目实施范围内山林土地权属纠纷的风险、征地拆迁资金管理不当产生的风险。拟采取妥善处理相关群众的合理诉求，根据风险实际变化情况，及时做好风险研判及评估，适时调整风险防范化解措施和应急预案，以保障风险有效预防和化解。</w:t>
      </w:r>
    </w:p>
    <w:p w14:paraId="5487B944">
      <w:pPr>
        <w:spacing w:line="578" w:lineRule="exact"/>
        <w:ind w:firstLine="640" w:firstLineChars="200"/>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楷体" w:hAnsi="楷体" w:eastAsia="楷体" w:cs="楷体"/>
          <w:bCs/>
          <w:color w:val="000000" w:themeColor="text1"/>
          <w:sz w:val="32"/>
          <w:szCs w:val="32"/>
          <w:highlight w:val="none"/>
          <w14:textFill>
            <w14:solidFill>
              <w14:schemeClr w14:val="tx1"/>
            </w14:solidFill>
          </w14:textFill>
        </w:rPr>
        <w:t>（四）征地补偿安置公告及听证。</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盘州市组织自然资源、财政、农业农村、人力资源社会保障等部门拟定了征地补偿安置方案，并于202</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年1</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0</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28</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日</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至</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11</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29</w:t>
      </w:r>
      <w:r>
        <w:rPr>
          <w:rFonts w:hint="eastAsia" w:ascii="仿宋_GB2312" w:hAnsi="仿宋_GB2312" w:eastAsia="仿宋_GB2312" w:cs="仿宋_GB2312"/>
          <w:color w:val="000000" w:themeColor="text1"/>
          <w:sz w:val="32"/>
          <w:szCs w:val="32"/>
          <w:highlight w:val="none"/>
          <w14:textFill>
            <w14:solidFill>
              <w14:schemeClr w14:val="tx1"/>
            </w14:solidFill>
          </w14:textFill>
        </w:rPr>
        <w:t>日</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（共计3</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日）在拟征收土地所在地的</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镇（</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街道</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和</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村（居）</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eastAsia" w:ascii="Times New Roman" w:hAnsi="Times New Roman" w:eastAsia="仿宋_GB2312" w:cs="仿宋_GB2312"/>
          <w:color w:val="000000" w:themeColor="text1"/>
          <w:kern w:val="0"/>
          <w:sz w:val="32"/>
          <w:szCs w:val="32"/>
          <w:shd w:val="clear" w:color="auto" w:fill="auto"/>
          <w14:textFill>
            <w14:solidFill>
              <w14:schemeClr w14:val="tx1"/>
            </w14:solidFill>
          </w14:textFill>
        </w:rPr>
        <w:t>村民小组</w:t>
      </w:r>
      <w:r>
        <w:rPr>
          <w:rFonts w:hint="eastAsia" w:ascii="Times New Roman" w:hAnsi="Times New Roman" w:eastAsia="仿宋_GB2312" w:cs="仿宋_GB2312"/>
          <w:b w:val="0"/>
          <w:bCs w:val="0"/>
          <w:color w:val="000000" w:themeColor="text1"/>
          <w:sz w:val="32"/>
          <w:szCs w:val="32"/>
          <w:lang w:val="en-US" w:eastAsia="zh-CN"/>
          <w14:textFill>
            <w14:solidFill>
              <w14:schemeClr w14:val="tx1"/>
            </w14:solidFill>
          </w14:textFill>
        </w:rPr>
        <w:t>通过</w:t>
      </w:r>
      <w:r>
        <w:rPr>
          <w:rFonts w:hint="eastAsia" w:ascii="Times New Roman" w:hAnsi="Times New Roman" w:eastAsia="仿宋_GB2312" w:cs="仿宋_GB2312"/>
          <w:color w:val="000000" w:themeColor="text1"/>
          <w:sz w:val="32"/>
          <w:szCs w:val="32"/>
          <w:shd w:val="clear" w:color="auto" w:fill="auto"/>
          <w14:textFill>
            <w14:solidFill>
              <w14:schemeClr w14:val="tx1"/>
            </w14:solidFill>
          </w14:textFill>
        </w:rPr>
        <w:t>村公示栏</w:t>
      </w:r>
      <w:r>
        <w:rPr>
          <w:rFonts w:hint="eastAsia" w:ascii="Times New Roman" w:hAnsi="Times New Roman" w:eastAsia="仿宋_GB2312" w:cs="仿宋_GB2312"/>
          <w:color w:val="000000" w:themeColor="text1"/>
          <w:sz w:val="32"/>
          <w:szCs w:val="32"/>
          <w14:textFill>
            <w14:solidFill>
              <w14:schemeClr w14:val="tx1"/>
            </w14:solidFill>
          </w14:textFill>
        </w:rPr>
        <w:t>发布了</w:t>
      </w:r>
      <w:r>
        <w:rPr>
          <w:rFonts w:hint="eastAsia" w:ascii="Times New Roman" w:hAnsi="Times New Roman" w:eastAsia="仿宋_GB2312" w:cs="仿宋_GB2312"/>
          <w:color w:val="000000" w:themeColor="text1"/>
          <w:kern w:val="0"/>
          <w:sz w:val="32"/>
          <w:szCs w:val="32"/>
          <w14:textFill>
            <w14:solidFill>
              <w14:schemeClr w14:val="tx1"/>
            </w14:solidFill>
          </w14:textFill>
        </w:rPr>
        <w:t>征地补偿安置公告。</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告包括征收范围、土地现状、征收目的、补偿方式和标准、安置对象、安置方式、社会保障，以及办理补偿登记的方式和期限、异议反馈渠道等内容。拟征收土地涉及被征收所有权人和使用权人均对该征地补偿安置方案无异议，未申请召开听证会，并于202</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11</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27</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日出具了自愿放弃听证的说明。</w:t>
      </w:r>
    </w:p>
    <w:p w14:paraId="75DB35CC">
      <w:pPr>
        <w:suppressAutoHyphens/>
        <w:spacing w:line="578" w:lineRule="exact"/>
        <w:ind w:firstLine="640" w:firstLineChars="200"/>
        <w:rPr>
          <w:rFonts w:ascii="Times New Roman" w:hAnsi="Times New Roman" w:eastAsia="仿宋_GB2312" w:cs="仿宋_GB2312"/>
          <w:color w:val="000000" w:themeColor="text1"/>
          <w:kern w:val="0"/>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该批次用地征地补偿安置协议等相关材料真实准确、合法合规。盘州市人民政府对该批次用地征地补偿安置协议等用地报件资料的真实性、合法性负责。</w:t>
      </w:r>
    </w:p>
    <w:p w14:paraId="75ABD9FA">
      <w:pPr>
        <w:spacing w:line="578" w:lineRule="exact"/>
        <w:ind w:firstLine="640" w:firstLineChars="200"/>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楷体" w:hAnsi="楷体" w:eastAsia="楷体" w:cs="楷体"/>
          <w:bCs/>
          <w:color w:val="000000" w:themeColor="text1"/>
          <w:sz w:val="32"/>
          <w:szCs w:val="32"/>
          <w:highlight w:val="none"/>
          <w14:textFill>
            <w14:solidFill>
              <w14:schemeClr w14:val="tx1"/>
            </w14:solidFill>
          </w14:textFill>
        </w:rPr>
        <w:t>（五）组织办理补偿登记。</w:t>
      </w:r>
      <w:r>
        <w:rPr>
          <w:rFonts w:hint="eastAsia" w:ascii="仿宋_GB2312" w:hAnsi="仿宋_GB2312" w:eastAsia="仿宋_GB2312" w:cs="仿宋_GB2312"/>
          <w:color w:val="000000" w:themeColor="text1"/>
          <w:sz w:val="32"/>
          <w:szCs w:val="32"/>
          <w:highlight w:val="none"/>
          <w14:textFill>
            <w14:solidFill>
              <w14:schemeClr w14:val="tx1"/>
            </w14:solidFill>
          </w14:textFill>
        </w:rPr>
        <w:t>盘州市已按规定在征地补偿安置方案公告规定期限内办理了补偿登记的土地所有权人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个，土地使用权人</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74</w:t>
      </w:r>
      <w:r>
        <w:rPr>
          <w:rFonts w:hint="eastAsia" w:ascii="仿宋_GB2312" w:hAnsi="仿宋_GB2312" w:eastAsia="仿宋_GB2312" w:cs="仿宋_GB2312"/>
          <w:color w:val="000000" w:themeColor="text1"/>
          <w:sz w:val="32"/>
          <w:szCs w:val="32"/>
          <w:highlight w:val="none"/>
          <w14:textFill>
            <w14:solidFill>
              <w14:schemeClr w14:val="tx1"/>
            </w14:solidFill>
          </w14:textFill>
        </w:rPr>
        <w:t>户</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242</w:t>
      </w:r>
      <w:r>
        <w:rPr>
          <w:rFonts w:hint="eastAsia" w:ascii="仿宋_GB2312" w:hAnsi="仿宋_GB2312" w:eastAsia="仿宋_GB2312" w:cs="仿宋_GB2312"/>
          <w:color w:val="000000" w:themeColor="text1"/>
          <w:sz w:val="32"/>
          <w:szCs w:val="32"/>
          <w:highlight w:val="none"/>
          <w14:textFill>
            <w14:solidFill>
              <w14:schemeClr w14:val="tx1"/>
            </w14:solidFill>
          </w14:textFill>
        </w:rPr>
        <w:t>人</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p>
    <w:p w14:paraId="5CD64A39">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楷体" w:hAnsi="楷体" w:eastAsia="楷体" w:cs="楷体"/>
          <w:bCs/>
          <w:color w:val="000000" w:themeColor="text1"/>
          <w:sz w:val="32"/>
          <w:szCs w:val="32"/>
          <w:highlight w:val="none"/>
          <w14:textFill>
            <w14:solidFill>
              <w14:schemeClr w14:val="tx1"/>
            </w14:solidFill>
          </w14:textFill>
        </w:rPr>
        <w:t>（六）落实新增建设用地土地有偿使用费、征地补偿安置和社会保障等相关费用。</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该批次用地涉及新增建设用地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6.3781</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公顷，其中盘州市15等别</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6.3781</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公顷，按规定应缴新增建设用地土地有偿使用费</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63.7810</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万元。征收土地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6.5533</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公顷，应落实征地补偿费</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287.1129</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万元（土地补偿费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117.3010</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万元、安置补助费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161.1514</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青苗补偿费8.6605万元，该批次用地不涉及</w:t>
      </w:r>
      <w:r>
        <w:rPr>
          <w:rFonts w:hint="eastAsia" w:ascii="仿宋_GB2312" w:hAnsi="仿宋_GB2312" w:eastAsia="仿宋_GB2312" w:cs="仿宋_GB2312"/>
          <w:color w:val="000000" w:themeColor="text1"/>
          <w:sz w:val="32"/>
          <w:szCs w:val="32"/>
          <w:highlight w:val="none"/>
          <w14:textFill>
            <w14:solidFill>
              <w14:schemeClr w14:val="tx1"/>
            </w14:solidFill>
          </w14:textFill>
        </w:rPr>
        <w:t>地上附着物补偿）</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、被征地农民社会保障费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229.5490</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万元。盘州市已采取了纳入预算方式按规定落实了新增建设用地土地有偿使用费、征地补偿资金和社会保障等相关费用，并承诺在收到缴费通</w:t>
      </w:r>
      <w:r>
        <w:rPr>
          <w:rFonts w:hint="eastAsia" w:ascii="仿宋_GB2312" w:hAnsi="仿宋_GB2312" w:eastAsia="仿宋_GB2312" w:cs="仿宋_GB2312"/>
          <w:color w:val="000000" w:themeColor="text1"/>
          <w:sz w:val="32"/>
          <w:szCs w:val="32"/>
          <w:highlight w:val="none"/>
          <w14:textFill>
            <w14:solidFill>
              <w14:schemeClr w14:val="tx1"/>
            </w14:solidFill>
          </w14:textFill>
        </w:rPr>
        <w:t>知后5个工作日内足额缴纳，如逾期未缴纳用地申请自动失效。</w:t>
      </w:r>
    </w:p>
    <w:p w14:paraId="23EA5708">
      <w:pPr>
        <w:spacing w:line="578" w:lineRule="exact"/>
        <w:ind w:firstLine="640" w:firstLineChars="200"/>
        <w:rPr>
          <w:rFonts w:ascii="Times New Roman" w:hAnsi="Times New Roman" w:eastAsia="仿宋_GB2312" w:cs="仿宋_GB2312"/>
          <w:color w:val="000000" w:themeColor="text1"/>
          <w:sz w:val="32"/>
          <w:szCs w:val="32"/>
          <w:highlight w:val="none"/>
          <w14:textFill>
            <w14:solidFill>
              <w14:schemeClr w14:val="tx1"/>
            </w14:solidFill>
          </w14:textFill>
        </w:rPr>
      </w:pPr>
      <w:r>
        <w:rPr>
          <w:rFonts w:hint="eastAsia" w:ascii="楷体" w:hAnsi="楷体" w:eastAsia="楷体" w:cs="楷体"/>
          <w:bCs/>
          <w:color w:val="000000" w:themeColor="text1"/>
          <w:sz w:val="32"/>
          <w:szCs w:val="32"/>
          <w:highlight w:val="none"/>
          <w14:textFill>
            <w14:solidFill>
              <w14:schemeClr w14:val="tx1"/>
            </w14:solidFill>
          </w14:textFill>
        </w:rPr>
        <w:t>（七）签订征地补偿安置协议。</w:t>
      </w:r>
      <w:r>
        <w:rPr>
          <w:rFonts w:hint="eastAsia" w:ascii="Times New Roman" w:hAnsi="Times New Roman" w:eastAsia="仿宋_GB2312" w:cs="仿宋_GB2312"/>
          <w:color w:val="000000" w:themeColor="text1"/>
          <w:kern w:val="0"/>
          <w:sz w:val="32"/>
          <w:szCs w:val="32"/>
          <w:highlight w:val="none"/>
          <w14:textFill>
            <w14:solidFill>
              <w14:schemeClr w14:val="tx1"/>
            </w14:solidFill>
          </w14:textFill>
        </w:rPr>
        <w:t>盘州市已按规定完成了签订征地补偿安置协议工作，已与涉及的全部拟征收土地的所有权人、使用权人签订了征地补偿安置协议。</w:t>
      </w:r>
    </w:p>
    <w:p w14:paraId="70199E14">
      <w:pPr>
        <w:spacing w:line="578" w:lineRule="exact"/>
        <w:ind w:firstLine="640" w:firstLineChars="200"/>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四、征地补偿安置情况</w:t>
      </w:r>
    </w:p>
    <w:p w14:paraId="21D24CBE">
      <w:pPr>
        <w:spacing w:line="578" w:lineRule="exact"/>
        <w:ind w:firstLine="640" w:firstLineChars="200"/>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批次</w:t>
      </w:r>
      <w:r>
        <w:rPr>
          <w:rFonts w:hint="eastAsia" w:ascii="仿宋_GB2312" w:hAnsi="仿宋_GB2312" w:eastAsia="仿宋_GB2312" w:cs="仿宋_GB2312"/>
          <w:color w:val="000000" w:themeColor="text1"/>
          <w:sz w:val="32"/>
          <w:szCs w:val="32"/>
          <w:highlight w:val="none"/>
          <w14:textFill>
            <w14:solidFill>
              <w14:schemeClr w14:val="tx1"/>
            </w14:solidFill>
          </w14:textFill>
        </w:rPr>
        <w:t>用地土地补偿费、安置补助费按照经省人民政府同意</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六盘水</w:t>
      </w:r>
      <w:r>
        <w:rPr>
          <w:rFonts w:hint="eastAsia" w:ascii="仿宋_GB2312" w:hAnsi="仿宋_GB2312" w:eastAsia="仿宋_GB2312" w:cs="仿宋_GB2312"/>
          <w:color w:val="000000" w:themeColor="text1"/>
          <w:sz w:val="32"/>
          <w:szCs w:val="32"/>
          <w:highlight w:val="none"/>
          <w14:textFill>
            <w14:solidFill>
              <w14:schemeClr w14:val="tx1"/>
            </w14:solidFill>
          </w14:textFill>
        </w:rPr>
        <w:t>市人民政府于2023年12月公布的《</w:t>
      </w:r>
      <w:r>
        <w:rPr>
          <w:rFonts w:hint="eastAsia" w:ascii="Times New Roman" w:hAnsi="Times New Roman" w:eastAsia="仿宋_GB2312" w:cs="仿宋_GB2312"/>
          <w:color w:val="000000" w:themeColor="text1"/>
          <w:sz w:val="32"/>
          <w:szCs w:val="32"/>
          <w14:textFill>
            <w14:solidFill>
              <w14:schemeClr w14:val="tx1"/>
            </w14:solidFill>
          </w14:textFill>
        </w:rPr>
        <w:t>市人民政府关于公布六盘水市征地区片综合地价标准有关事宜的通知</w:t>
      </w:r>
      <w:r>
        <w:rPr>
          <w:rFonts w:hint="eastAsia" w:ascii="仿宋_GB2312" w:hAnsi="仿宋_GB2312" w:eastAsia="仿宋_GB2312" w:cs="仿宋_GB2312"/>
          <w:color w:val="000000" w:themeColor="text1"/>
          <w:sz w:val="32"/>
          <w:szCs w:val="32"/>
          <w:highlight w:val="none"/>
          <w14:textFill>
            <w14:solidFill>
              <w14:schemeClr w14:val="tx1"/>
            </w14:solidFill>
          </w14:textFill>
        </w:rPr>
        <w:t>》（六盘水府函〔2023〕28号）等有关规定，在拟定的征地补偿安置方案中进行明确。共涉及1个征地区片综合地价片区，每亩补偿0.6万元至3.9万元。</w:t>
      </w:r>
      <w:r>
        <w:rPr>
          <w:rFonts w:hint="eastAsia" w:ascii="仿宋_GB2312" w:hAnsi="仿宋_GB2312" w:eastAsia="仿宋_GB2312" w:cs="仿宋_GB2312"/>
          <w:color w:val="000000" w:themeColor="text1"/>
          <w:kern w:val="0"/>
          <w:sz w:val="32"/>
          <w:szCs w:val="32"/>
          <w:highlight w:val="none"/>
          <w:lang w:bidi="ar"/>
          <w14:textFill>
            <w14:solidFill>
              <w14:schemeClr w14:val="tx1"/>
            </w14:solidFill>
          </w14:textFill>
        </w:rPr>
        <w:t>地上附着物补偿费用按照《市人民政府关于公布六盘水市征地区片综合地价标准等有关事宜的通知》（六盘水府函〔2020〕44号）执行。</w:t>
      </w:r>
    </w:p>
    <w:p w14:paraId="1BD6E905">
      <w:pPr>
        <w:spacing w:line="578"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该批次用地涉及</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非农业</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人口242人，劳动力</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112</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人，应安置人员</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242</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人，计划通过货币安置</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242</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人</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涉及的劳动力通过社会保障安置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112</w:t>
      </w:r>
      <w:r>
        <w:rPr>
          <w:rFonts w:hint="eastAsia" w:ascii="仿宋_GB2312" w:hAnsi="仿宋_GB2312" w:eastAsia="仿宋_GB2312" w:cs="仿宋_GB2312"/>
          <w:color w:val="000000" w:themeColor="text1"/>
          <w:sz w:val="32"/>
          <w:szCs w:val="32"/>
          <w:highlight w:val="none"/>
          <w14:textFill>
            <w14:solidFill>
              <w14:schemeClr w14:val="tx1"/>
            </w14:solidFill>
          </w14:textFill>
        </w:rPr>
        <w:t>人。可以确保被征地农民原有生活水平不降低、长远生计有保障。</w:t>
      </w:r>
    </w:p>
    <w:p w14:paraId="1EB6300C">
      <w:pPr>
        <w:spacing w:line="578" w:lineRule="exact"/>
        <w:ind w:firstLine="640" w:firstLineChars="20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被征地农民的</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社会保障费用按照《省人民政府关于进一步做好被征地农民就业和社会保障工作的意见》（黔府发〔2011〕26号）</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《市人民政府办公室关于转发市人资社保局关于六盘水市被征地农民就业和社会保障工作实施意见的通知》（六盘水府办函〔2014〕53号）执行，被征地农民纳入城乡居民养老保险社会保障体系。</w:t>
      </w:r>
    </w:p>
    <w:p w14:paraId="4E5DFDEC">
      <w:pPr>
        <w:spacing w:line="578"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该批次用地不涉及征收农村村民住宅</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14:paraId="06E31E1B">
      <w:pPr>
        <w:spacing w:line="578" w:lineRule="exact"/>
        <w:ind w:firstLine="640" w:firstLineChars="200"/>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综上，盘州市已依法完成征收土地前期工作、拟定农用地转用方案，征地补偿安置符合相关规定要求，现申请审批农用地转用并征收土地。</w:t>
      </w:r>
      <w:r>
        <w:rPr>
          <w:rFonts w:hint="eastAsia" w:ascii="仿宋_GB2312" w:hAnsi="仿宋_GB2312" w:eastAsia="仿宋_GB2312" w:cs="仿宋_GB2312"/>
          <w:color w:val="000000" w:themeColor="text1"/>
          <w:sz w:val="32"/>
          <w:szCs w:val="32"/>
          <w:highlight w:val="none"/>
          <w14:textFill>
            <w14:solidFill>
              <w14:schemeClr w14:val="tx1"/>
            </w14:solidFill>
          </w14:textFill>
        </w:rPr>
        <w:t>申请</w:t>
      </w:r>
      <w:r>
        <w:rPr>
          <w:rFonts w:hint="eastAsia" w:ascii="仿宋_GB2312" w:hAnsi="仿宋_GB2312" w:eastAsia="仿宋_GB2312" w:cs="仿宋_GB2312"/>
          <w:color w:val="000000" w:themeColor="text1"/>
          <w:sz w:val="32"/>
          <w:szCs w:val="32"/>
          <w:highlight w:val="none"/>
          <w:lang w:val="zh-CN"/>
          <w14:textFill>
            <w14:solidFill>
              <w14:schemeClr w14:val="tx1"/>
            </w14:solidFill>
          </w14:textFill>
        </w:rPr>
        <w:t>将</w:t>
      </w:r>
      <w:r>
        <w:rPr>
          <w:rFonts w:hint="eastAsia" w:ascii="仿宋_GB2312" w:hAnsi="仿宋_GB2312" w:eastAsia="仿宋_GB2312" w:cs="仿宋_GB2312"/>
          <w:snapToGrid w:val="0"/>
          <w:color w:val="000000" w:themeColor="text1"/>
          <w:kern w:val="0"/>
          <w:sz w:val="32"/>
          <w:szCs w:val="22"/>
          <w:highlight w:val="none"/>
          <w:lang w:val="en-US" w:eastAsia="zh-CN"/>
          <w14:textFill>
            <w14:solidFill>
              <w14:schemeClr w14:val="tx1"/>
            </w14:solidFill>
          </w14:textFill>
        </w:rPr>
        <w:t>盘州市保田镇上保田村，红果街道下沙居委会、舍勒居委会</w:t>
      </w:r>
      <w:r>
        <w:rPr>
          <w:rFonts w:hint="eastAsia" w:ascii="仿宋_GB2312" w:hAnsi="仿宋_GB2312" w:eastAsia="仿宋_GB2312" w:cs="仿宋_GB2312"/>
          <w:color w:val="000000" w:themeColor="text1"/>
          <w:sz w:val="32"/>
          <w:szCs w:val="32"/>
          <w:highlight w:val="none"/>
          <w14:textFill>
            <w14:solidFill>
              <w14:schemeClr w14:val="tx1"/>
            </w14:solidFill>
          </w14:textFill>
        </w:rPr>
        <w:t>集体</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农用地</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5.2818</w:t>
      </w:r>
      <w:r>
        <w:rPr>
          <w:rFonts w:hint="eastAsia" w:ascii="仿宋_GB2312" w:hAnsi="仿宋_GB2312" w:eastAsia="仿宋_GB2312" w:cs="仿宋_GB2312"/>
          <w:color w:val="000000" w:themeColor="text1"/>
          <w:sz w:val="32"/>
          <w:szCs w:val="32"/>
          <w:highlight w:val="none"/>
          <w14:textFill>
            <w14:solidFill>
              <w14:schemeClr w14:val="tx1"/>
            </w14:solidFill>
          </w14:textFill>
        </w:rPr>
        <w:t>公顷（耕地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3.8491</w:t>
      </w:r>
      <w:r>
        <w:rPr>
          <w:rFonts w:hint="eastAsia" w:ascii="仿宋_GB2312" w:hAnsi="仿宋_GB2312" w:eastAsia="仿宋_GB2312" w:cs="仿宋_GB2312"/>
          <w:color w:val="000000" w:themeColor="text1"/>
          <w:sz w:val="32"/>
          <w:szCs w:val="32"/>
          <w:highlight w:val="none"/>
          <w14:textFill>
            <w14:solidFill>
              <w14:schemeClr w14:val="tx1"/>
            </w14:solidFill>
          </w14:textFill>
        </w:rPr>
        <w:t>公顷</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〈水田0.9376公顷，旱地2.9115公顷</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不涉及永久基本农田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园地0.4084</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公顷、林地0.4748公顷、其他农用地0.5495公顷</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集体未利用地1.0963公顷</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转为建设用地，同时申请将上述集体经济组织的集体新增建设用地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6.3781</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公顷和原有集体建设用地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0.1752</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公顷，共计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6.5533</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公顷土地征为国有土地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以上共计申请建设用地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6.5533</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公顷，其中新增建设用地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6.3781</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公顷，涉及占用耕地</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3.8491</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公顷。</w:t>
      </w:r>
      <w:r>
        <w:rPr>
          <w:rFonts w:hint="eastAsia" w:ascii="仿宋_GB2312" w:hAnsi="仿宋_GB2312" w:eastAsia="仿宋_GB2312" w:cs="仿宋_GB2312"/>
          <w:color w:val="000000" w:themeColor="text1"/>
          <w:kern w:val="0"/>
          <w:sz w:val="32"/>
          <w:szCs w:val="32"/>
          <w:highlight w:val="none"/>
          <w:lang w:val="zh-CN"/>
          <w14:textFill>
            <w14:solidFill>
              <w14:schemeClr w14:val="tx1"/>
            </w14:solidFill>
          </w14:textFill>
        </w:rPr>
        <w:t>作为盘州市2024年度第十批次城镇建设用地。现申请审批农用地转用并征收土地。</w:t>
      </w:r>
    </w:p>
    <w:p w14:paraId="52069D57">
      <w:pPr>
        <w:suppressAutoHyphens/>
        <w:spacing w:line="580" w:lineRule="exact"/>
        <w:ind w:firstLine="640" w:firstLineChars="200"/>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土地征收后，盘州市不动产登记机构将依据征地批准文件依嘱托及时办理集体土地所有权注销或变更登记，维护权利人合法权益，确保土地权属清晰、无争议。</w:t>
      </w:r>
    </w:p>
    <w:p w14:paraId="3A625FC8">
      <w:pPr>
        <w:spacing w:line="578" w:lineRule="exact"/>
        <w:ind w:firstLine="640" w:firstLineChars="200"/>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t>妥否，请批示。</w:t>
      </w:r>
    </w:p>
    <w:p w14:paraId="6B014888">
      <w:pPr>
        <w:pStyle w:val="13"/>
        <w:spacing w:line="578" w:lineRule="exact"/>
        <w:ind w:left="420" w:firstLine="640"/>
        <w:rPr>
          <w:rFonts w:hint="eastAsia" w:ascii="仿宋_GB2312" w:hAnsi="仿宋_GB2312" w:eastAsia="仿宋_GB2312" w:cs="仿宋_GB2312"/>
          <w:color w:val="000000" w:themeColor="text1"/>
          <w:sz w:val="32"/>
          <w:szCs w:val="32"/>
          <w:highlight w:val="none"/>
          <w:lang w:eastAsia="zh-TW"/>
          <w14:textFill>
            <w14:solidFill>
              <w14:schemeClr w14:val="tx1"/>
            </w14:solidFill>
          </w14:textFill>
        </w:rPr>
      </w:pPr>
    </w:p>
    <w:p w14:paraId="2B48712F">
      <w:pPr>
        <w:pStyle w:val="12"/>
        <w:spacing w:line="578" w:lineRule="exact"/>
        <w:ind w:firstLine="320"/>
        <w:rPr>
          <w:rFonts w:hint="eastAsia" w:ascii="仿宋_GB2312" w:hAnsi="仿宋_GB2312" w:eastAsia="仿宋_GB2312" w:cs="仿宋_GB2312"/>
          <w:color w:val="000000" w:themeColor="text1"/>
          <w:sz w:val="32"/>
          <w:szCs w:val="32"/>
          <w:highlight w:val="none"/>
          <w:lang w:eastAsia="zh-TW"/>
          <w14:textFill>
            <w14:solidFill>
              <w14:schemeClr w14:val="tx1"/>
            </w14:solidFill>
          </w14:textFill>
        </w:rPr>
      </w:pPr>
    </w:p>
    <w:p w14:paraId="152AE195">
      <w:pPr>
        <w:spacing w:line="578" w:lineRule="exact"/>
        <w:ind w:firstLine="640" w:firstLineChars="200"/>
        <w:rPr>
          <w:rFonts w:hint="eastAsia" w:ascii="仿宋_GB2312" w:hAnsi="仿宋_GB2312" w:eastAsia="仿宋_GB2312" w:cs="仿宋_GB2312"/>
          <w:color w:val="000000" w:themeColor="text1"/>
          <w:sz w:val="32"/>
          <w:szCs w:val="32"/>
          <w:highlight w:val="none"/>
          <w:lang w:val="zh-CN" w:eastAsia="zh-TW"/>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附件：</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盘州市2024年度第十批次城镇建设用地</w:t>
      </w:r>
      <w:r>
        <w:rPr>
          <w:rFonts w:hint="eastAsia" w:ascii="仿宋_GB2312" w:hAnsi="仿宋_GB2312" w:eastAsia="仿宋_GB2312" w:cs="仿宋_GB2312"/>
          <w:color w:val="000000" w:themeColor="text1"/>
          <w:sz w:val="32"/>
          <w:szCs w:val="32"/>
          <w:highlight w:val="none"/>
          <w14:textFill>
            <w14:solidFill>
              <w14:schemeClr w14:val="tx1"/>
            </w14:solidFill>
          </w14:textFill>
        </w:rPr>
        <w:t>报件资料</w:t>
      </w:r>
    </w:p>
    <w:p w14:paraId="291CCBE0">
      <w:pPr>
        <w:pStyle w:val="13"/>
        <w:spacing w:line="578" w:lineRule="exact"/>
        <w:ind w:left="420" w:firstLine="640"/>
        <w:rPr>
          <w:rFonts w:hint="eastAsia" w:ascii="仿宋_GB2312" w:hAnsi="仿宋_GB2312" w:eastAsia="仿宋_GB2312" w:cs="仿宋_GB2312"/>
          <w:color w:val="000000" w:themeColor="text1"/>
          <w:sz w:val="32"/>
          <w:szCs w:val="32"/>
          <w:highlight w:val="none"/>
          <w:lang w:eastAsia="zh-TW"/>
          <w14:textFill>
            <w14:solidFill>
              <w14:schemeClr w14:val="tx1"/>
            </w14:solidFill>
          </w14:textFill>
        </w:rPr>
      </w:pPr>
    </w:p>
    <w:p w14:paraId="50C6136F">
      <w:pPr>
        <w:spacing w:line="578" w:lineRule="exact"/>
        <w:ind w:left="1" w:firstLine="4480" w:firstLineChars="1400"/>
        <w:textAlignment w:val="bottom"/>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pPr>
    </w:p>
    <w:p w14:paraId="5642B635">
      <w:pPr>
        <w:pStyle w:val="3"/>
        <w:rPr>
          <w:rFonts w:hint="eastAsia"/>
          <w:color w:val="000000" w:themeColor="text1"/>
          <w:highlight w:val="none"/>
          <w:lang w:eastAsia="zh-TW"/>
          <w14:textFill>
            <w14:solidFill>
              <w14:schemeClr w14:val="tx1"/>
            </w14:solidFill>
          </w14:textFill>
        </w:rPr>
      </w:pPr>
      <w:bookmarkStart w:id="0" w:name="_GoBack"/>
      <w:bookmarkEnd w:id="0"/>
    </w:p>
    <w:p w14:paraId="59E478F7">
      <w:pPr>
        <w:spacing w:line="578" w:lineRule="exact"/>
        <w:ind w:left="1" w:firstLine="4480" w:firstLineChars="1400"/>
        <w:jc w:val="center"/>
        <w:textAlignment w:val="bottom"/>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t>20</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2</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t>年</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t>月</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0"/>
          <w:sz w:val="32"/>
          <w:szCs w:val="32"/>
          <w:highlight w:val="none"/>
          <w:lang w:eastAsia="zh-TW"/>
          <w14:textFill>
            <w14:solidFill>
              <w14:schemeClr w14:val="tx1"/>
            </w14:solidFill>
          </w14:textFill>
        </w:rPr>
        <w:t>日</w:t>
      </w:r>
    </w:p>
    <w:p w14:paraId="2D018E4C">
      <w:pPr>
        <w:spacing w:line="578" w:lineRule="exact"/>
        <w:ind w:firstLine="640" w:firstLineChars="200"/>
        <w:rPr>
          <w:rFonts w:ascii="Times New Roman" w:hAnsi="Times New Roman" w:eastAsia="仿宋_GB2312" w:cs="仿宋_GB2312"/>
          <w:color w:val="000000" w:themeColor="text1"/>
          <w:sz w:val="32"/>
          <w:szCs w:val="32"/>
          <w:highlight w:val="none"/>
          <w14:textFill>
            <w14:solidFill>
              <w14:schemeClr w14:val="tx1"/>
            </w14:solidFill>
          </w14:textFill>
        </w:rPr>
      </w:pPr>
    </w:p>
    <w:p w14:paraId="2FBCC909">
      <w:pPr>
        <w:numPr>
          <w:ilvl w:val="0"/>
          <w:numId w:val="2"/>
        </w:numPr>
        <w:spacing w:line="578" w:lineRule="exact"/>
        <w:ind w:left="1257" w:leftChars="294" w:hanging="640" w:hanging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附件由盘州市自然资源局径送六盘水市自然资源局；</w:t>
      </w:r>
    </w:p>
    <w:p w14:paraId="7879266C">
      <w:pPr>
        <w:numPr>
          <w:ilvl w:val="0"/>
          <w:numId w:val="2"/>
        </w:numPr>
        <w:spacing w:line="578" w:lineRule="exact"/>
        <w:ind w:left="1257" w:leftChars="294" w:hanging="640" w:hanging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联系人：刘  挺，联系电话：18084161406）</w:t>
      </w:r>
    </w:p>
    <w:p w14:paraId="5AC3FA5D">
      <w:pPr>
        <w:pStyle w:val="26"/>
        <w:widowControl w:val="0"/>
        <w:spacing w:line="578" w:lineRule="atLeast"/>
        <w:jc w:val="left"/>
        <w:rPr>
          <w:rFonts w:ascii="Times New Roman" w:hAnsi="Times New Roman" w:eastAsia="仿宋_GB2312" w:cs="仿宋_GB2312"/>
          <w:color w:val="000000" w:themeColor="text1"/>
          <w:kern w:val="2"/>
          <w:sz w:val="32"/>
          <w:szCs w:val="32"/>
          <w:highlight w:val="none"/>
          <w14:textFill>
            <w14:solidFill>
              <w14:schemeClr w14:val="tx1"/>
            </w14:solidFill>
          </w14:textFill>
        </w:rPr>
      </w:pPr>
    </w:p>
    <w:p w14:paraId="6651EDD5">
      <w:pPr>
        <w:pStyle w:val="26"/>
        <w:keepNext w:val="0"/>
        <w:keepLines w:val="0"/>
        <w:pageBreakBefore w:val="0"/>
        <w:widowControl w:val="0"/>
        <w:kinsoku/>
        <w:wordWrap/>
        <w:overflowPunct/>
        <w:topLinePunct w:val="0"/>
        <w:autoSpaceDE/>
        <w:autoSpaceDN/>
        <w:bidi w:val="0"/>
        <w:adjustRightInd/>
        <w:snapToGrid/>
        <w:spacing w:line="578" w:lineRule="atLeast"/>
        <w:jc w:val="left"/>
        <w:textAlignment w:val="auto"/>
        <w:rPr>
          <w:rFonts w:hint="eastAsia" w:ascii="Times New Roman" w:hAnsi="Times New Roman" w:eastAsia="仿宋_GB2312" w:cs="仿宋_GB2312"/>
          <w:color w:val="000000" w:themeColor="text1"/>
          <w:kern w:val="2"/>
          <w:sz w:val="32"/>
          <w:szCs w:val="32"/>
          <w:highlight w:val="none"/>
          <w:lang w:val="en-US" w:eastAsia="zh-CN" w:bidi="ar-SA"/>
          <w14:textFill>
            <w14:solidFill>
              <w14:schemeClr w14:val="tx1"/>
            </w14:solidFill>
          </w14:textFill>
        </w:rPr>
      </w:pPr>
    </w:p>
    <w:sectPr>
      <w:footerReference r:id="rId3" w:type="default"/>
      <w:footerReference r:id="rId4" w:type="even"/>
      <w:pgSz w:w="11906" w:h="16838"/>
      <w:pgMar w:top="2098" w:right="1474" w:bottom="1984" w:left="1587" w:header="851" w:footer="1985" w:gutter="0"/>
      <w:pgNumType w:fmt="decimal"/>
      <w:cols w:space="720" w:num="1"/>
      <w:docGrid w:type="lines" w:linePitch="34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FC354">
    <w:pPr>
      <w:pStyle w:val="7"/>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47625</wp:posOffset>
              </wp:positionV>
              <wp:extent cx="996950" cy="467360"/>
              <wp:effectExtent l="0" t="0" r="0" b="0"/>
              <wp:wrapNone/>
              <wp:docPr id="3" name="文本框 3"/>
              <wp:cNvGraphicFramePr/>
              <a:graphic xmlns:a="http://schemas.openxmlformats.org/drawingml/2006/main">
                <a:graphicData uri="http://schemas.microsoft.com/office/word/2010/wordprocessingShape">
                  <wps:wsp>
                    <wps:cNvSpPr txBox="1"/>
                    <wps:spPr>
                      <a:xfrm>
                        <a:off x="0" y="0"/>
                        <a:ext cx="996950" cy="4673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389218">
                          <w:pPr>
                            <w:pStyle w:val="7"/>
                            <w:ind w:left="210" w:leftChars="100" w:right="210" w:rightChars="100"/>
                            <w:rPr>
                              <w:rStyle w:val="17"/>
                              <w:rFonts w:hint="eastAsia"/>
                              <w:sz w:val="28"/>
                              <w:szCs w:val="28"/>
                            </w:rPr>
                          </w:pPr>
                          <w:r>
                            <w:rPr>
                              <w:rStyle w:val="17"/>
                              <w:rFonts w:hint="eastAsia"/>
                              <w:sz w:val="28"/>
                              <w:szCs w:val="28"/>
                            </w:rPr>
                            <w:t xml:space="preserve">— </w:t>
                          </w:r>
                          <w:r>
                            <w:rPr>
                              <w:rFonts w:hint="eastAsia" w:asciiTheme="minorEastAsia" w:hAnsiTheme="minorEastAsia" w:eastAsiaTheme="minorEastAsia" w:cstheme="minorEastAsia"/>
                              <w:sz w:val="28"/>
                              <w:szCs w:val="28"/>
                            </w:rPr>
                            <w:fldChar w:fldCharType="begin"/>
                          </w:r>
                          <w:r>
                            <w:rPr>
                              <w:rStyle w:val="17"/>
                              <w:rFonts w:hint="eastAsia" w:asciiTheme="minorEastAsia" w:hAnsiTheme="minorEastAsia" w:eastAsiaTheme="minorEastAsia" w:cstheme="minorEastAsia"/>
                              <w:sz w:val="28"/>
                              <w:szCs w:val="28"/>
                            </w:rPr>
                            <w:instrText xml:space="preserve">PAGE  </w:instrText>
                          </w:r>
                          <w:r>
                            <w:rPr>
                              <w:rFonts w:hint="eastAsia" w:asciiTheme="minorEastAsia" w:hAnsiTheme="minorEastAsia" w:eastAsiaTheme="minorEastAsia" w:cstheme="minorEastAsia"/>
                              <w:sz w:val="28"/>
                              <w:szCs w:val="28"/>
                            </w:rPr>
                            <w:fldChar w:fldCharType="separate"/>
                          </w:r>
                          <w:r>
                            <w:rPr>
                              <w:rStyle w:val="17"/>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Style w:val="17"/>
                              <w:rFonts w:hint="eastAsia"/>
                              <w:sz w:val="28"/>
                              <w:szCs w:val="28"/>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3.75pt;height:36.8pt;width:78.5pt;mso-position-horizontal:outside;mso-position-horizontal-relative:margin;z-index:251659264;mso-width-relative:page;mso-height-relative:page;" filled="f" stroked="f" coordsize="21600,21600" o:gfxdata="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W4SRw0wAAAAUBAAAPAAAAAAAAAAEAIAAAACIAAABkcnMvZG93bnJldi54bWxQ&#10;SwECFAAUAAAACACHTuJAiDCxjzUCAABhBAAADgAAAAAAAAABACAAAAAiAQAAZHJzL2Uyb0RvYy54&#10;bWxQSwUGAAAAAAYABgBZAQAAyQUAAAAA&#10;">
              <v:fill on="f" focussize="0,0"/>
              <v:stroke on="f" weight="0.5pt"/>
              <v:imagedata o:title=""/>
              <o:lock v:ext="edit" aspectratio="f"/>
              <v:textbox inset="0mm,0mm,0mm,0mm">
                <w:txbxContent>
                  <w:p w14:paraId="6A389218">
                    <w:pPr>
                      <w:pStyle w:val="7"/>
                      <w:ind w:left="210" w:leftChars="100" w:right="210" w:rightChars="100"/>
                      <w:rPr>
                        <w:rStyle w:val="17"/>
                        <w:rFonts w:hint="eastAsia"/>
                        <w:sz w:val="28"/>
                        <w:szCs w:val="28"/>
                      </w:rPr>
                    </w:pPr>
                    <w:r>
                      <w:rPr>
                        <w:rStyle w:val="17"/>
                        <w:rFonts w:hint="eastAsia"/>
                        <w:sz w:val="28"/>
                        <w:szCs w:val="28"/>
                      </w:rPr>
                      <w:t xml:space="preserve">— </w:t>
                    </w:r>
                    <w:r>
                      <w:rPr>
                        <w:rFonts w:hint="eastAsia" w:asciiTheme="minorEastAsia" w:hAnsiTheme="minorEastAsia" w:eastAsiaTheme="minorEastAsia" w:cstheme="minorEastAsia"/>
                        <w:sz w:val="28"/>
                        <w:szCs w:val="28"/>
                      </w:rPr>
                      <w:fldChar w:fldCharType="begin"/>
                    </w:r>
                    <w:r>
                      <w:rPr>
                        <w:rStyle w:val="17"/>
                        <w:rFonts w:hint="eastAsia" w:asciiTheme="minorEastAsia" w:hAnsiTheme="minorEastAsia" w:eastAsiaTheme="minorEastAsia" w:cstheme="minorEastAsia"/>
                        <w:sz w:val="28"/>
                        <w:szCs w:val="28"/>
                      </w:rPr>
                      <w:instrText xml:space="preserve">PAGE  </w:instrText>
                    </w:r>
                    <w:r>
                      <w:rPr>
                        <w:rFonts w:hint="eastAsia" w:asciiTheme="minorEastAsia" w:hAnsiTheme="minorEastAsia" w:eastAsiaTheme="minorEastAsia" w:cstheme="minorEastAsia"/>
                        <w:sz w:val="28"/>
                        <w:szCs w:val="28"/>
                      </w:rPr>
                      <w:fldChar w:fldCharType="separate"/>
                    </w:r>
                    <w:r>
                      <w:rPr>
                        <w:rStyle w:val="17"/>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Style w:val="17"/>
                        <w:rFonts w:hint="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16A11">
    <w:pPr>
      <w:pStyle w:val="7"/>
      <w:framePr w:wrap="around" w:vAnchor="text" w:hAnchor="margin" w:xAlign="outside" w:y="1"/>
      <w:rPr>
        <w:rStyle w:val="17"/>
      </w:rPr>
    </w:pPr>
    <w:r>
      <w:fldChar w:fldCharType="begin"/>
    </w:r>
    <w:r>
      <w:rPr>
        <w:rStyle w:val="17"/>
      </w:rPr>
      <w:instrText xml:space="preserve">PAGE  </w:instrText>
    </w:r>
    <w:r>
      <w:fldChar w:fldCharType="end"/>
    </w:r>
  </w:p>
  <w:p w14:paraId="77CC816C">
    <w:pPr>
      <w:pStyle w:val="7"/>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20701"/>
    <w:multiLevelType w:val="singleLevel"/>
    <w:tmpl w:val="E9520701"/>
    <w:lvl w:ilvl="0" w:tentative="0">
      <w:start w:val="1"/>
      <w:numFmt w:val="chineseCounting"/>
      <w:suff w:val="nothing"/>
      <w:lvlText w:val="%1、"/>
      <w:lvlJc w:val="left"/>
      <w:rPr>
        <w:rFonts w:hint="eastAsia"/>
      </w:rPr>
    </w:lvl>
  </w:abstractNum>
  <w:abstractNum w:abstractNumId="1">
    <w:nsid w:val="33FBBBFE"/>
    <w:multiLevelType w:val="singleLevel"/>
    <w:tmpl w:val="33FBBBFE"/>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bordersDoNotSurroundHeader w:val="0"/>
  <w:bordersDoNotSurroundFooter w:val="0"/>
  <w:documentProtection w:enforcement="0"/>
  <w:defaultTabStop w:val="420"/>
  <w:hyphenationZone w:val="360"/>
  <w:drawingGridVerticalSpacing w:val="17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1MWNiYTkyMmQ1ZDBiOGFlM2M0MDdiNDU0Y2ZhMWMifQ=="/>
    <w:docVar w:name="KSO_WPS_MARK_KEY" w:val="a5723055-61c6-4ad7-b657-830f91d7bb5e"/>
  </w:docVars>
  <w:rsids>
    <w:rsidRoot w:val="003D42D8"/>
    <w:rsid w:val="00000EDC"/>
    <w:rsid w:val="00000F63"/>
    <w:rsid w:val="00001FCD"/>
    <w:rsid w:val="00002134"/>
    <w:rsid w:val="00002A3E"/>
    <w:rsid w:val="000035B4"/>
    <w:rsid w:val="00005B83"/>
    <w:rsid w:val="00010840"/>
    <w:rsid w:val="00013D90"/>
    <w:rsid w:val="00017290"/>
    <w:rsid w:val="000174E0"/>
    <w:rsid w:val="00027611"/>
    <w:rsid w:val="00040CC6"/>
    <w:rsid w:val="00043C9C"/>
    <w:rsid w:val="00045DAB"/>
    <w:rsid w:val="00047688"/>
    <w:rsid w:val="000514AF"/>
    <w:rsid w:val="000526AA"/>
    <w:rsid w:val="00055673"/>
    <w:rsid w:val="000573A7"/>
    <w:rsid w:val="000627EC"/>
    <w:rsid w:val="00066BF2"/>
    <w:rsid w:val="000707D5"/>
    <w:rsid w:val="00071D7F"/>
    <w:rsid w:val="000745C5"/>
    <w:rsid w:val="000747EA"/>
    <w:rsid w:val="00074ADA"/>
    <w:rsid w:val="00074D48"/>
    <w:rsid w:val="00075513"/>
    <w:rsid w:val="00084E22"/>
    <w:rsid w:val="00087560"/>
    <w:rsid w:val="000931A7"/>
    <w:rsid w:val="00096FBD"/>
    <w:rsid w:val="000A2272"/>
    <w:rsid w:val="000A2700"/>
    <w:rsid w:val="000B0D0D"/>
    <w:rsid w:val="000B4636"/>
    <w:rsid w:val="000B4D0C"/>
    <w:rsid w:val="000B4E3D"/>
    <w:rsid w:val="000B5681"/>
    <w:rsid w:val="000B6EA4"/>
    <w:rsid w:val="000C1E45"/>
    <w:rsid w:val="000C7DD6"/>
    <w:rsid w:val="000D1591"/>
    <w:rsid w:val="000D32A6"/>
    <w:rsid w:val="000D6177"/>
    <w:rsid w:val="000D6EAD"/>
    <w:rsid w:val="000E164A"/>
    <w:rsid w:val="000E3E36"/>
    <w:rsid w:val="000F0C8F"/>
    <w:rsid w:val="000F0F90"/>
    <w:rsid w:val="000F19A9"/>
    <w:rsid w:val="000F1D70"/>
    <w:rsid w:val="000F6115"/>
    <w:rsid w:val="001000F5"/>
    <w:rsid w:val="00103918"/>
    <w:rsid w:val="00105C66"/>
    <w:rsid w:val="001074F9"/>
    <w:rsid w:val="00111217"/>
    <w:rsid w:val="00115583"/>
    <w:rsid w:val="00123A86"/>
    <w:rsid w:val="00124E9C"/>
    <w:rsid w:val="00124FD9"/>
    <w:rsid w:val="00130B59"/>
    <w:rsid w:val="001322F9"/>
    <w:rsid w:val="00133FCD"/>
    <w:rsid w:val="00137600"/>
    <w:rsid w:val="00141353"/>
    <w:rsid w:val="00146AC1"/>
    <w:rsid w:val="00152653"/>
    <w:rsid w:val="00155BAD"/>
    <w:rsid w:val="001574A5"/>
    <w:rsid w:val="00160874"/>
    <w:rsid w:val="00160E91"/>
    <w:rsid w:val="00161E07"/>
    <w:rsid w:val="00161FF7"/>
    <w:rsid w:val="00162382"/>
    <w:rsid w:val="001624A8"/>
    <w:rsid w:val="00164520"/>
    <w:rsid w:val="00165E9B"/>
    <w:rsid w:val="001662E1"/>
    <w:rsid w:val="00166AF2"/>
    <w:rsid w:val="001672E2"/>
    <w:rsid w:val="0018123B"/>
    <w:rsid w:val="001827BE"/>
    <w:rsid w:val="00184AF3"/>
    <w:rsid w:val="00193BFA"/>
    <w:rsid w:val="001A2095"/>
    <w:rsid w:val="001A6315"/>
    <w:rsid w:val="001A6DDE"/>
    <w:rsid w:val="001A6FE4"/>
    <w:rsid w:val="001A71ED"/>
    <w:rsid w:val="001B16B2"/>
    <w:rsid w:val="001B4ED1"/>
    <w:rsid w:val="001C1821"/>
    <w:rsid w:val="001C2A36"/>
    <w:rsid w:val="001C2EE6"/>
    <w:rsid w:val="001C5863"/>
    <w:rsid w:val="001C5890"/>
    <w:rsid w:val="001C7EE1"/>
    <w:rsid w:val="001D00C7"/>
    <w:rsid w:val="001E6A4E"/>
    <w:rsid w:val="001E70CD"/>
    <w:rsid w:val="001F482E"/>
    <w:rsid w:val="001F7F7E"/>
    <w:rsid w:val="00202F9C"/>
    <w:rsid w:val="002079F3"/>
    <w:rsid w:val="00211111"/>
    <w:rsid w:val="002115A7"/>
    <w:rsid w:val="0021645B"/>
    <w:rsid w:val="00220487"/>
    <w:rsid w:val="00220C6C"/>
    <w:rsid w:val="00220C7F"/>
    <w:rsid w:val="00230C42"/>
    <w:rsid w:val="00234DFE"/>
    <w:rsid w:val="002356C0"/>
    <w:rsid w:val="0023730F"/>
    <w:rsid w:val="002378AF"/>
    <w:rsid w:val="00244C93"/>
    <w:rsid w:val="00250ACB"/>
    <w:rsid w:val="002525D9"/>
    <w:rsid w:val="00257905"/>
    <w:rsid w:val="00257DE3"/>
    <w:rsid w:val="002610AA"/>
    <w:rsid w:val="002611B8"/>
    <w:rsid w:val="002632EF"/>
    <w:rsid w:val="0027049D"/>
    <w:rsid w:val="00286B94"/>
    <w:rsid w:val="00292FB2"/>
    <w:rsid w:val="00293283"/>
    <w:rsid w:val="002968F4"/>
    <w:rsid w:val="002A31C6"/>
    <w:rsid w:val="002A6993"/>
    <w:rsid w:val="002B110F"/>
    <w:rsid w:val="002B2F5A"/>
    <w:rsid w:val="002B3CFF"/>
    <w:rsid w:val="002B6322"/>
    <w:rsid w:val="002C0504"/>
    <w:rsid w:val="002C4B60"/>
    <w:rsid w:val="002D07E0"/>
    <w:rsid w:val="002D2284"/>
    <w:rsid w:val="002E3B3A"/>
    <w:rsid w:val="002E3B92"/>
    <w:rsid w:val="002E5C53"/>
    <w:rsid w:val="002F4B3C"/>
    <w:rsid w:val="003012A1"/>
    <w:rsid w:val="00312B4F"/>
    <w:rsid w:val="003169E5"/>
    <w:rsid w:val="003211CE"/>
    <w:rsid w:val="0032288C"/>
    <w:rsid w:val="00324BDC"/>
    <w:rsid w:val="00326A2C"/>
    <w:rsid w:val="0032742B"/>
    <w:rsid w:val="0033114E"/>
    <w:rsid w:val="00331536"/>
    <w:rsid w:val="00336390"/>
    <w:rsid w:val="00336647"/>
    <w:rsid w:val="00337140"/>
    <w:rsid w:val="00337620"/>
    <w:rsid w:val="00344857"/>
    <w:rsid w:val="003454BA"/>
    <w:rsid w:val="0034557B"/>
    <w:rsid w:val="0034663E"/>
    <w:rsid w:val="00347528"/>
    <w:rsid w:val="00347FA6"/>
    <w:rsid w:val="00350FF2"/>
    <w:rsid w:val="003521E4"/>
    <w:rsid w:val="00353281"/>
    <w:rsid w:val="00353EC4"/>
    <w:rsid w:val="0036597B"/>
    <w:rsid w:val="0036661E"/>
    <w:rsid w:val="00366A03"/>
    <w:rsid w:val="00366C12"/>
    <w:rsid w:val="00367A07"/>
    <w:rsid w:val="00371216"/>
    <w:rsid w:val="003808A5"/>
    <w:rsid w:val="003810BA"/>
    <w:rsid w:val="00390608"/>
    <w:rsid w:val="00395EBE"/>
    <w:rsid w:val="003A1E3B"/>
    <w:rsid w:val="003A319C"/>
    <w:rsid w:val="003A5C99"/>
    <w:rsid w:val="003C0292"/>
    <w:rsid w:val="003C0C30"/>
    <w:rsid w:val="003C113F"/>
    <w:rsid w:val="003C129A"/>
    <w:rsid w:val="003C1EF4"/>
    <w:rsid w:val="003C7D2D"/>
    <w:rsid w:val="003D2C05"/>
    <w:rsid w:val="003D42D8"/>
    <w:rsid w:val="003E65BB"/>
    <w:rsid w:val="003F1C2F"/>
    <w:rsid w:val="004011DD"/>
    <w:rsid w:val="004127A0"/>
    <w:rsid w:val="00413266"/>
    <w:rsid w:val="00414C96"/>
    <w:rsid w:val="00423440"/>
    <w:rsid w:val="004271E7"/>
    <w:rsid w:val="00437C0B"/>
    <w:rsid w:val="004411FE"/>
    <w:rsid w:val="00442F19"/>
    <w:rsid w:val="00443B3F"/>
    <w:rsid w:val="00445743"/>
    <w:rsid w:val="004624F0"/>
    <w:rsid w:val="00465698"/>
    <w:rsid w:val="0046588A"/>
    <w:rsid w:val="004734A4"/>
    <w:rsid w:val="0048115B"/>
    <w:rsid w:val="004857AC"/>
    <w:rsid w:val="00486179"/>
    <w:rsid w:val="004867EC"/>
    <w:rsid w:val="0048734C"/>
    <w:rsid w:val="00491F45"/>
    <w:rsid w:val="00493BBD"/>
    <w:rsid w:val="00493CC6"/>
    <w:rsid w:val="00497854"/>
    <w:rsid w:val="004A2184"/>
    <w:rsid w:val="004B071C"/>
    <w:rsid w:val="004B0994"/>
    <w:rsid w:val="004B75D9"/>
    <w:rsid w:val="004C119C"/>
    <w:rsid w:val="004D15DE"/>
    <w:rsid w:val="004E0452"/>
    <w:rsid w:val="004E1836"/>
    <w:rsid w:val="004E2AB0"/>
    <w:rsid w:val="004F0E9C"/>
    <w:rsid w:val="004F4E62"/>
    <w:rsid w:val="004F5D87"/>
    <w:rsid w:val="004F647A"/>
    <w:rsid w:val="004F712A"/>
    <w:rsid w:val="004F7652"/>
    <w:rsid w:val="0050156F"/>
    <w:rsid w:val="00505A98"/>
    <w:rsid w:val="0050686D"/>
    <w:rsid w:val="00506EE3"/>
    <w:rsid w:val="00510697"/>
    <w:rsid w:val="00516682"/>
    <w:rsid w:val="00517385"/>
    <w:rsid w:val="00517C6C"/>
    <w:rsid w:val="00521CC8"/>
    <w:rsid w:val="00523C51"/>
    <w:rsid w:val="0053138B"/>
    <w:rsid w:val="0053220D"/>
    <w:rsid w:val="00534AC3"/>
    <w:rsid w:val="00535BC6"/>
    <w:rsid w:val="0054303D"/>
    <w:rsid w:val="00545B75"/>
    <w:rsid w:val="005568F6"/>
    <w:rsid w:val="00560648"/>
    <w:rsid w:val="005611DF"/>
    <w:rsid w:val="00561665"/>
    <w:rsid w:val="00566D98"/>
    <w:rsid w:val="00572F3D"/>
    <w:rsid w:val="00576E5C"/>
    <w:rsid w:val="00596594"/>
    <w:rsid w:val="005B3997"/>
    <w:rsid w:val="005B5120"/>
    <w:rsid w:val="005B78C6"/>
    <w:rsid w:val="005D403B"/>
    <w:rsid w:val="005D4ACF"/>
    <w:rsid w:val="005D6345"/>
    <w:rsid w:val="005E49F8"/>
    <w:rsid w:val="00600C3E"/>
    <w:rsid w:val="00610625"/>
    <w:rsid w:val="0061136A"/>
    <w:rsid w:val="00622693"/>
    <w:rsid w:val="00623B05"/>
    <w:rsid w:val="00630BBB"/>
    <w:rsid w:val="00636A59"/>
    <w:rsid w:val="006410DD"/>
    <w:rsid w:val="0064146C"/>
    <w:rsid w:val="00643566"/>
    <w:rsid w:val="006463A4"/>
    <w:rsid w:val="00646856"/>
    <w:rsid w:val="0064764B"/>
    <w:rsid w:val="0065284C"/>
    <w:rsid w:val="00656605"/>
    <w:rsid w:val="006641A5"/>
    <w:rsid w:val="006729B7"/>
    <w:rsid w:val="006776B3"/>
    <w:rsid w:val="006800E9"/>
    <w:rsid w:val="00680FDA"/>
    <w:rsid w:val="00684491"/>
    <w:rsid w:val="00696031"/>
    <w:rsid w:val="00697474"/>
    <w:rsid w:val="006A3649"/>
    <w:rsid w:val="006A381B"/>
    <w:rsid w:val="006A3F78"/>
    <w:rsid w:val="006A5F90"/>
    <w:rsid w:val="006A62DE"/>
    <w:rsid w:val="006A6612"/>
    <w:rsid w:val="006A7881"/>
    <w:rsid w:val="006C7DDC"/>
    <w:rsid w:val="006E5C44"/>
    <w:rsid w:val="006E6BE0"/>
    <w:rsid w:val="006F2264"/>
    <w:rsid w:val="006F2FD9"/>
    <w:rsid w:val="006F3FBB"/>
    <w:rsid w:val="007015FE"/>
    <w:rsid w:val="00707513"/>
    <w:rsid w:val="00710A3A"/>
    <w:rsid w:val="00717F23"/>
    <w:rsid w:val="0072276E"/>
    <w:rsid w:val="00724EB3"/>
    <w:rsid w:val="007362A9"/>
    <w:rsid w:val="00743C54"/>
    <w:rsid w:val="00745DA0"/>
    <w:rsid w:val="0075157F"/>
    <w:rsid w:val="00752F35"/>
    <w:rsid w:val="00753B10"/>
    <w:rsid w:val="00754625"/>
    <w:rsid w:val="0075617A"/>
    <w:rsid w:val="007574FD"/>
    <w:rsid w:val="00761EDC"/>
    <w:rsid w:val="00770FB6"/>
    <w:rsid w:val="00773D86"/>
    <w:rsid w:val="00780B52"/>
    <w:rsid w:val="007833AA"/>
    <w:rsid w:val="00792984"/>
    <w:rsid w:val="00793E24"/>
    <w:rsid w:val="007A397A"/>
    <w:rsid w:val="007A44FA"/>
    <w:rsid w:val="007B0003"/>
    <w:rsid w:val="007B023D"/>
    <w:rsid w:val="007B0AE2"/>
    <w:rsid w:val="007B0D58"/>
    <w:rsid w:val="007D17BD"/>
    <w:rsid w:val="007E0864"/>
    <w:rsid w:val="007F7164"/>
    <w:rsid w:val="008003DB"/>
    <w:rsid w:val="0080413B"/>
    <w:rsid w:val="008042AA"/>
    <w:rsid w:val="00805D64"/>
    <w:rsid w:val="00807DBB"/>
    <w:rsid w:val="0081149C"/>
    <w:rsid w:val="00812CCC"/>
    <w:rsid w:val="00816A71"/>
    <w:rsid w:val="00821F70"/>
    <w:rsid w:val="0082422A"/>
    <w:rsid w:val="00831E1E"/>
    <w:rsid w:val="0084037D"/>
    <w:rsid w:val="008405A7"/>
    <w:rsid w:val="00840B05"/>
    <w:rsid w:val="008419C2"/>
    <w:rsid w:val="00842FB2"/>
    <w:rsid w:val="008444A8"/>
    <w:rsid w:val="0084781F"/>
    <w:rsid w:val="0085373F"/>
    <w:rsid w:val="00856762"/>
    <w:rsid w:val="0086103D"/>
    <w:rsid w:val="008619F4"/>
    <w:rsid w:val="008630DF"/>
    <w:rsid w:val="00865136"/>
    <w:rsid w:val="00876751"/>
    <w:rsid w:val="0088568F"/>
    <w:rsid w:val="00892DC5"/>
    <w:rsid w:val="008953BC"/>
    <w:rsid w:val="00895DAF"/>
    <w:rsid w:val="008A0655"/>
    <w:rsid w:val="008C229F"/>
    <w:rsid w:val="008C475B"/>
    <w:rsid w:val="008C6B48"/>
    <w:rsid w:val="008C7124"/>
    <w:rsid w:val="008C73D0"/>
    <w:rsid w:val="008D0EE3"/>
    <w:rsid w:val="008D6297"/>
    <w:rsid w:val="008D6BDA"/>
    <w:rsid w:val="008E5F29"/>
    <w:rsid w:val="008F0DD7"/>
    <w:rsid w:val="008F70CF"/>
    <w:rsid w:val="009019AE"/>
    <w:rsid w:val="00906891"/>
    <w:rsid w:val="009124DE"/>
    <w:rsid w:val="00912CB0"/>
    <w:rsid w:val="00914A72"/>
    <w:rsid w:val="0091588E"/>
    <w:rsid w:val="00917E07"/>
    <w:rsid w:val="009244BB"/>
    <w:rsid w:val="00930CFB"/>
    <w:rsid w:val="00933BD5"/>
    <w:rsid w:val="00936FF5"/>
    <w:rsid w:val="009466FD"/>
    <w:rsid w:val="009471BD"/>
    <w:rsid w:val="009539EC"/>
    <w:rsid w:val="00960AF5"/>
    <w:rsid w:val="00974A74"/>
    <w:rsid w:val="009809CB"/>
    <w:rsid w:val="00983D43"/>
    <w:rsid w:val="00986026"/>
    <w:rsid w:val="00995B3C"/>
    <w:rsid w:val="009A1D0D"/>
    <w:rsid w:val="009A25E5"/>
    <w:rsid w:val="009A2E49"/>
    <w:rsid w:val="009A37DC"/>
    <w:rsid w:val="009A56F4"/>
    <w:rsid w:val="009A62C1"/>
    <w:rsid w:val="009B0BC8"/>
    <w:rsid w:val="009C50CC"/>
    <w:rsid w:val="009D023F"/>
    <w:rsid w:val="009D0F88"/>
    <w:rsid w:val="009D1817"/>
    <w:rsid w:val="009D26F8"/>
    <w:rsid w:val="009D58B3"/>
    <w:rsid w:val="009D601F"/>
    <w:rsid w:val="009D78A5"/>
    <w:rsid w:val="009F648E"/>
    <w:rsid w:val="009F6B6D"/>
    <w:rsid w:val="009F7794"/>
    <w:rsid w:val="00A0042E"/>
    <w:rsid w:val="00A02F05"/>
    <w:rsid w:val="00A05396"/>
    <w:rsid w:val="00A0589E"/>
    <w:rsid w:val="00A07D36"/>
    <w:rsid w:val="00A1238A"/>
    <w:rsid w:val="00A1277E"/>
    <w:rsid w:val="00A21E67"/>
    <w:rsid w:val="00A2696D"/>
    <w:rsid w:val="00A306C3"/>
    <w:rsid w:val="00A30D46"/>
    <w:rsid w:val="00A37305"/>
    <w:rsid w:val="00A40A3A"/>
    <w:rsid w:val="00A41240"/>
    <w:rsid w:val="00A47689"/>
    <w:rsid w:val="00A531FD"/>
    <w:rsid w:val="00A5624E"/>
    <w:rsid w:val="00A60480"/>
    <w:rsid w:val="00A61A02"/>
    <w:rsid w:val="00A659D3"/>
    <w:rsid w:val="00A663BB"/>
    <w:rsid w:val="00A664FC"/>
    <w:rsid w:val="00A7101E"/>
    <w:rsid w:val="00A729E5"/>
    <w:rsid w:val="00A72B87"/>
    <w:rsid w:val="00A756A9"/>
    <w:rsid w:val="00A75BF5"/>
    <w:rsid w:val="00A77E0E"/>
    <w:rsid w:val="00A93042"/>
    <w:rsid w:val="00A94CDB"/>
    <w:rsid w:val="00AA5BD8"/>
    <w:rsid w:val="00AA77F1"/>
    <w:rsid w:val="00AA7AF4"/>
    <w:rsid w:val="00AA7CD1"/>
    <w:rsid w:val="00AB38BE"/>
    <w:rsid w:val="00AB6F1E"/>
    <w:rsid w:val="00AC76CA"/>
    <w:rsid w:val="00AD423F"/>
    <w:rsid w:val="00AE097D"/>
    <w:rsid w:val="00AE0A97"/>
    <w:rsid w:val="00AE1C16"/>
    <w:rsid w:val="00AE6442"/>
    <w:rsid w:val="00AF2C73"/>
    <w:rsid w:val="00AF6A35"/>
    <w:rsid w:val="00AF6FA3"/>
    <w:rsid w:val="00B02D02"/>
    <w:rsid w:val="00B10D02"/>
    <w:rsid w:val="00B156B1"/>
    <w:rsid w:val="00B162AE"/>
    <w:rsid w:val="00B2144C"/>
    <w:rsid w:val="00B21B73"/>
    <w:rsid w:val="00B27DA7"/>
    <w:rsid w:val="00B30460"/>
    <w:rsid w:val="00B37E84"/>
    <w:rsid w:val="00B40C6C"/>
    <w:rsid w:val="00B44E84"/>
    <w:rsid w:val="00B47E33"/>
    <w:rsid w:val="00B5148B"/>
    <w:rsid w:val="00B533C5"/>
    <w:rsid w:val="00B60160"/>
    <w:rsid w:val="00B604BF"/>
    <w:rsid w:val="00B617F3"/>
    <w:rsid w:val="00B630AF"/>
    <w:rsid w:val="00B72F14"/>
    <w:rsid w:val="00B73781"/>
    <w:rsid w:val="00B738EF"/>
    <w:rsid w:val="00B84F28"/>
    <w:rsid w:val="00B85AEA"/>
    <w:rsid w:val="00B91DF4"/>
    <w:rsid w:val="00B95446"/>
    <w:rsid w:val="00B95C9D"/>
    <w:rsid w:val="00BA12EC"/>
    <w:rsid w:val="00BA13C0"/>
    <w:rsid w:val="00BA3758"/>
    <w:rsid w:val="00BA631C"/>
    <w:rsid w:val="00BA6D0B"/>
    <w:rsid w:val="00BB1452"/>
    <w:rsid w:val="00BB17C1"/>
    <w:rsid w:val="00BB2DED"/>
    <w:rsid w:val="00BB34A2"/>
    <w:rsid w:val="00BB41ED"/>
    <w:rsid w:val="00BB54E1"/>
    <w:rsid w:val="00BC6825"/>
    <w:rsid w:val="00BC6BDF"/>
    <w:rsid w:val="00BD0F3F"/>
    <w:rsid w:val="00BD3A37"/>
    <w:rsid w:val="00BF3B5C"/>
    <w:rsid w:val="00BF620C"/>
    <w:rsid w:val="00C00CB9"/>
    <w:rsid w:val="00C149B2"/>
    <w:rsid w:val="00C149E9"/>
    <w:rsid w:val="00C231A0"/>
    <w:rsid w:val="00C30909"/>
    <w:rsid w:val="00C33636"/>
    <w:rsid w:val="00C34C8B"/>
    <w:rsid w:val="00C45E77"/>
    <w:rsid w:val="00C4612E"/>
    <w:rsid w:val="00C46BA3"/>
    <w:rsid w:val="00C555AD"/>
    <w:rsid w:val="00C616CC"/>
    <w:rsid w:val="00C621A8"/>
    <w:rsid w:val="00C655D8"/>
    <w:rsid w:val="00C712DD"/>
    <w:rsid w:val="00C734D1"/>
    <w:rsid w:val="00C954E1"/>
    <w:rsid w:val="00C97282"/>
    <w:rsid w:val="00C97802"/>
    <w:rsid w:val="00CA023D"/>
    <w:rsid w:val="00CA435C"/>
    <w:rsid w:val="00CB324F"/>
    <w:rsid w:val="00CB3CA8"/>
    <w:rsid w:val="00CB67CC"/>
    <w:rsid w:val="00CC28AA"/>
    <w:rsid w:val="00CD041D"/>
    <w:rsid w:val="00CE32E7"/>
    <w:rsid w:val="00CE3FA2"/>
    <w:rsid w:val="00CF3CA8"/>
    <w:rsid w:val="00CF403F"/>
    <w:rsid w:val="00D0164B"/>
    <w:rsid w:val="00D02D9F"/>
    <w:rsid w:val="00D22B27"/>
    <w:rsid w:val="00D2474D"/>
    <w:rsid w:val="00D2476E"/>
    <w:rsid w:val="00D26ECA"/>
    <w:rsid w:val="00D37866"/>
    <w:rsid w:val="00D5634C"/>
    <w:rsid w:val="00D608AC"/>
    <w:rsid w:val="00D643C9"/>
    <w:rsid w:val="00D655CD"/>
    <w:rsid w:val="00D65E92"/>
    <w:rsid w:val="00D6693D"/>
    <w:rsid w:val="00D66AC3"/>
    <w:rsid w:val="00D70516"/>
    <w:rsid w:val="00D710A9"/>
    <w:rsid w:val="00D71521"/>
    <w:rsid w:val="00D83852"/>
    <w:rsid w:val="00D86372"/>
    <w:rsid w:val="00D901B3"/>
    <w:rsid w:val="00D977F2"/>
    <w:rsid w:val="00DA13C3"/>
    <w:rsid w:val="00DA237C"/>
    <w:rsid w:val="00DA42CB"/>
    <w:rsid w:val="00DA595C"/>
    <w:rsid w:val="00DA6CE6"/>
    <w:rsid w:val="00DB19B4"/>
    <w:rsid w:val="00DB24F5"/>
    <w:rsid w:val="00DB3C61"/>
    <w:rsid w:val="00DB54B6"/>
    <w:rsid w:val="00DB6042"/>
    <w:rsid w:val="00DB7772"/>
    <w:rsid w:val="00DC0D92"/>
    <w:rsid w:val="00DC28E3"/>
    <w:rsid w:val="00DC5FEB"/>
    <w:rsid w:val="00DC6E76"/>
    <w:rsid w:val="00DD7DA0"/>
    <w:rsid w:val="00DE1090"/>
    <w:rsid w:val="00DE49A4"/>
    <w:rsid w:val="00DF7080"/>
    <w:rsid w:val="00E01FD7"/>
    <w:rsid w:val="00E04064"/>
    <w:rsid w:val="00E10C94"/>
    <w:rsid w:val="00E129A8"/>
    <w:rsid w:val="00E27C38"/>
    <w:rsid w:val="00E30F06"/>
    <w:rsid w:val="00E33D24"/>
    <w:rsid w:val="00E352DF"/>
    <w:rsid w:val="00E3631E"/>
    <w:rsid w:val="00E375EB"/>
    <w:rsid w:val="00E50114"/>
    <w:rsid w:val="00E569DD"/>
    <w:rsid w:val="00E56A7B"/>
    <w:rsid w:val="00E65B02"/>
    <w:rsid w:val="00E7343A"/>
    <w:rsid w:val="00E764DC"/>
    <w:rsid w:val="00E807B4"/>
    <w:rsid w:val="00E81E86"/>
    <w:rsid w:val="00E83C24"/>
    <w:rsid w:val="00E85759"/>
    <w:rsid w:val="00E85BD0"/>
    <w:rsid w:val="00E9223E"/>
    <w:rsid w:val="00E92939"/>
    <w:rsid w:val="00E94943"/>
    <w:rsid w:val="00EA5146"/>
    <w:rsid w:val="00EA65DE"/>
    <w:rsid w:val="00EA6AE5"/>
    <w:rsid w:val="00EA7F87"/>
    <w:rsid w:val="00EB5CD7"/>
    <w:rsid w:val="00EC0BF7"/>
    <w:rsid w:val="00EC6288"/>
    <w:rsid w:val="00EC7D71"/>
    <w:rsid w:val="00ED0D9F"/>
    <w:rsid w:val="00ED0F21"/>
    <w:rsid w:val="00ED23D0"/>
    <w:rsid w:val="00ED3145"/>
    <w:rsid w:val="00EE08E4"/>
    <w:rsid w:val="00EE1ED3"/>
    <w:rsid w:val="00EE57A8"/>
    <w:rsid w:val="00EE74B7"/>
    <w:rsid w:val="00EF19A0"/>
    <w:rsid w:val="00F009D7"/>
    <w:rsid w:val="00F067FA"/>
    <w:rsid w:val="00F07952"/>
    <w:rsid w:val="00F07C22"/>
    <w:rsid w:val="00F10AF6"/>
    <w:rsid w:val="00F13EE8"/>
    <w:rsid w:val="00F22A9F"/>
    <w:rsid w:val="00F23403"/>
    <w:rsid w:val="00F242F1"/>
    <w:rsid w:val="00F245C2"/>
    <w:rsid w:val="00F25B40"/>
    <w:rsid w:val="00F26697"/>
    <w:rsid w:val="00F34F5C"/>
    <w:rsid w:val="00F37421"/>
    <w:rsid w:val="00F40897"/>
    <w:rsid w:val="00F52F1B"/>
    <w:rsid w:val="00F56B8A"/>
    <w:rsid w:val="00F56DF0"/>
    <w:rsid w:val="00F6505C"/>
    <w:rsid w:val="00F65068"/>
    <w:rsid w:val="00F66463"/>
    <w:rsid w:val="00F753BD"/>
    <w:rsid w:val="00F75C74"/>
    <w:rsid w:val="00F77A76"/>
    <w:rsid w:val="00F807BD"/>
    <w:rsid w:val="00F80816"/>
    <w:rsid w:val="00F86115"/>
    <w:rsid w:val="00F91BE9"/>
    <w:rsid w:val="00F97A63"/>
    <w:rsid w:val="00FA1598"/>
    <w:rsid w:val="00FA696E"/>
    <w:rsid w:val="00FC2556"/>
    <w:rsid w:val="00FC274F"/>
    <w:rsid w:val="00FC5627"/>
    <w:rsid w:val="00FD1360"/>
    <w:rsid w:val="00FD25BA"/>
    <w:rsid w:val="00FD3445"/>
    <w:rsid w:val="00FD6BBC"/>
    <w:rsid w:val="00FE63D0"/>
    <w:rsid w:val="00FE6710"/>
    <w:rsid w:val="00FF1F1B"/>
    <w:rsid w:val="00FF4F24"/>
    <w:rsid w:val="010827C0"/>
    <w:rsid w:val="0132224A"/>
    <w:rsid w:val="013B3561"/>
    <w:rsid w:val="014C7F1A"/>
    <w:rsid w:val="01A6040E"/>
    <w:rsid w:val="01C548E4"/>
    <w:rsid w:val="0218720A"/>
    <w:rsid w:val="023F2212"/>
    <w:rsid w:val="026442D2"/>
    <w:rsid w:val="04240EED"/>
    <w:rsid w:val="043B4C5B"/>
    <w:rsid w:val="043D3713"/>
    <w:rsid w:val="04694133"/>
    <w:rsid w:val="046B245F"/>
    <w:rsid w:val="04AE6CD2"/>
    <w:rsid w:val="04DF55D6"/>
    <w:rsid w:val="051C0E94"/>
    <w:rsid w:val="053973EC"/>
    <w:rsid w:val="05517045"/>
    <w:rsid w:val="05F6352F"/>
    <w:rsid w:val="066F644C"/>
    <w:rsid w:val="068942CF"/>
    <w:rsid w:val="06F07871"/>
    <w:rsid w:val="071F3A56"/>
    <w:rsid w:val="07324C84"/>
    <w:rsid w:val="074E3773"/>
    <w:rsid w:val="077F61BF"/>
    <w:rsid w:val="08050E5D"/>
    <w:rsid w:val="08300495"/>
    <w:rsid w:val="08484B64"/>
    <w:rsid w:val="0865737C"/>
    <w:rsid w:val="08A26BE5"/>
    <w:rsid w:val="08E32408"/>
    <w:rsid w:val="08F11DA4"/>
    <w:rsid w:val="091066B6"/>
    <w:rsid w:val="09195D56"/>
    <w:rsid w:val="094D0951"/>
    <w:rsid w:val="09B104CA"/>
    <w:rsid w:val="09D65B51"/>
    <w:rsid w:val="09E51E01"/>
    <w:rsid w:val="0A193C90"/>
    <w:rsid w:val="0A3F5BDD"/>
    <w:rsid w:val="0A7A1157"/>
    <w:rsid w:val="0A8C7FBE"/>
    <w:rsid w:val="0A910C33"/>
    <w:rsid w:val="0AC4530F"/>
    <w:rsid w:val="0B0C10FF"/>
    <w:rsid w:val="0B265C54"/>
    <w:rsid w:val="0B48482D"/>
    <w:rsid w:val="0B6E5916"/>
    <w:rsid w:val="0B986C60"/>
    <w:rsid w:val="0BA16459"/>
    <w:rsid w:val="0BED6A44"/>
    <w:rsid w:val="0C075553"/>
    <w:rsid w:val="0C177D5B"/>
    <w:rsid w:val="0C2A38B4"/>
    <w:rsid w:val="0C6A6845"/>
    <w:rsid w:val="0C8727C6"/>
    <w:rsid w:val="0CB868CF"/>
    <w:rsid w:val="0CF14812"/>
    <w:rsid w:val="0D354C96"/>
    <w:rsid w:val="0D403D50"/>
    <w:rsid w:val="0E02650A"/>
    <w:rsid w:val="0E253B0E"/>
    <w:rsid w:val="0E387AD5"/>
    <w:rsid w:val="0E7106D6"/>
    <w:rsid w:val="0E9B1118"/>
    <w:rsid w:val="0EB546C3"/>
    <w:rsid w:val="0ECE71B2"/>
    <w:rsid w:val="0F052A35"/>
    <w:rsid w:val="0F767A04"/>
    <w:rsid w:val="0F8C280E"/>
    <w:rsid w:val="0FB657C7"/>
    <w:rsid w:val="10264A11"/>
    <w:rsid w:val="102F1A09"/>
    <w:rsid w:val="10634FA9"/>
    <w:rsid w:val="106612E8"/>
    <w:rsid w:val="109A503E"/>
    <w:rsid w:val="109D6F15"/>
    <w:rsid w:val="10AE35A2"/>
    <w:rsid w:val="10DE52EC"/>
    <w:rsid w:val="10F67000"/>
    <w:rsid w:val="11453BC5"/>
    <w:rsid w:val="114A0BEB"/>
    <w:rsid w:val="119105B0"/>
    <w:rsid w:val="119A3908"/>
    <w:rsid w:val="11A42091"/>
    <w:rsid w:val="11F805F4"/>
    <w:rsid w:val="121037B1"/>
    <w:rsid w:val="12384280"/>
    <w:rsid w:val="125A6BF4"/>
    <w:rsid w:val="125C1A7D"/>
    <w:rsid w:val="128E52CD"/>
    <w:rsid w:val="12C0745B"/>
    <w:rsid w:val="13054DB2"/>
    <w:rsid w:val="133438E9"/>
    <w:rsid w:val="13445FAB"/>
    <w:rsid w:val="136B076B"/>
    <w:rsid w:val="13792B8A"/>
    <w:rsid w:val="13BA746A"/>
    <w:rsid w:val="13C54541"/>
    <w:rsid w:val="13C94031"/>
    <w:rsid w:val="14184FB8"/>
    <w:rsid w:val="142D0439"/>
    <w:rsid w:val="14CA29C4"/>
    <w:rsid w:val="14F73141"/>
    <w:rsid w:val="152176BC"/>
    <w:rsid w:val="156A53A0"/>
    <w:rsid w:val="15860384"/>
    <w:rsid w:val="15962639"/>
    <w:rsid w:val="1599061D"/>
    <w:rsid w:val="16016CAC"/>
    <w:rsid w:val="161C7110"/>
    <w:rsid w:val="164D719B"/>
    <w:rsid w:val="165878EE"/>
    <w:rsid w:val="16AD19E8"/>
    <w:rsid w:val="16D056D6"/>
    <w:rsid w:val="16D27985"/>
    <w:rsid w:val="1773347D"/>
    <w:rsid w:val="17DA0D2E"/>
    <w:rsid w:val="17FD4F71"/>
    <w:rsid w:val="186A486A"/>
    <w:rsid w:val="1892449D"/>
    <w:rsid w:val="18FA6A3B"/>
    <w:rsid w:val="194B2A40"/>
    <w:rsid w:val="198C2490"/>
    <w:rsid w:val="19D63004"/>
    <w:rsid w:val="19FF69FF"/>
    <w:rsid w:val="1A1324AA"/>
    <w:rsid w:val="1A5E57D6"/>
    <w:rsid w:val="1AA475A6"/>
    <w:rsid w:val="1AA51FAD"/>
    <w:rsid w:val="1AAB787A"/>
    <w:rsid w:val="1AF13AC6"/>
    <w:rsid w:val="1AF5570C"/>
    <w:rsid w:val="1B3316DE"/>
    <w:rsid w:val="1B636429"/>
    <w:rsid w:val="1B66268D"/>
    <w:rsid w:val="1BA52E0D"/>
    <w:rsid w:val="1BA95A7C"/>
    <w:rsid w:val="1BB50257"/>
    <w:rsid w:val="1BE340FE"/>
    <w:rsid w:val="1C33157E"/>
    <w:rsid w:val="1C5446B4"/>
    <w:rsid w:val="1C8054A9"/>
    <w:rsid w:val="1C88063D"/>
    <w:rsid w:val="1C9B3FCB"/>
    <w:rsid w:val="1CD001DE"/>
    <w:rsid w:val="1CEE2D5A"/>
    <w:rsid w:val="1D075770"/>
    <w:rsid w:val="1D0D0DD1"/>
    <w:rsid w:val="1D796AC8"/>
    <w:rsid w:val="1D8879B5"/>
    <w:rsid w:val="1D971967"/>
    <w:rsid w:val="1D986173"/>
    <w:rsid w:val="1EE34641"/>
    <w:rsid w:val="1EEE27DB"/>
    <w:rsid w:val="1F182311"/>
    <w:rsid w:val="1F5844BB"/>
    <w:rsid w:val="1F5F584A"/>
    <w:rsid w:val="1F9C0E7F"/>
    <w:rsid w:val="1FF35684"/>
    <w:rsid w:val="200F1D5C"/>
    <w:rsid w:val="213845A4"/>
    <w:rsid w:val="215F3986"/>
    <w:rsid w:val="215F7D44"/>
    <w:rsid w:val="2166441B"/>
    <w:rsid w:val="21E45B00"/>
    <w:rsid w:val="22123047"/>
    <w:rsid w:val="2217240B"/>
    <w:rsid w:val="22187351"/>
    <w:rsid w:val="2221328A"/>
    <w:rsid w:val="22576CAC"/>
    <w:rsid w:val="225A0C09"/>
    <w:rsid w:val="22CB7A5A"/>
    <w:rsid w:val="22E36792"/>
    <w:rsid w:val="22EE13BE"/>
    <w:rsid w:val="22EF0DC1"/>
    <w:rsid w:val="22F51C2B"/>
    <w:rsid w:val="231302E2"/>
    <w:rsid w:val="233B634E"/>
    <w:rsid w:val="234C4337"/>
    <w:rsid w:val="234C6632"/>
    <w:rsid w:val="236837CE"/>
    <w:rsid w:val="238E2519"/>
    <w:rsid w:val="23902475"/>
    <w:rsid w:val="23CB51A1"/>
    <w:rsid w:val="23F511C7"/>
    <w:rsid w:val="23F92711"/>
    <w:rsid w:val="240E234C"/>
    <w:rsid w:val="249256D3"/>
    <w:rsid w:val="250A6257"/>
    <w:rsid w:val="250C0EE6"/>
    <w:rsid w:val="251A5E54"/>
    <w:rsid w:val="256016F6"/>
    <w:rsid w:val="25711466"/>
    <w:rsid w:val="258E5137"/>
    <w:rsid w:val="26CB1A16"/>
    <w:rsid w:val="26D537F5"/>
    <w:rsid w:val="26E37A2C"/>
    <w:rsid w:val="26F92B7D"/>
    <w:rsid w:val="27093C7A"/>
    <w:rsid w:val="272E210E"/>
    <w:rsid w:val="27383856"/>
    <w:rsid w:val="27C63BFD"/>
    <w:rsid w:val="27DC1ED2"/>
    <w:rsid w:val="28032A8C"/>
    <w:rsid w:val="28034FD9"/>
    <w:rsid w:val="280A3285"/>
    <w:rsid w:val="28226961"/>
    <w:rsid w:val="28414686"/>
    <w:rsid w:val="2854102A"/>
    <w:rsid w:val="28801FE8"/>
    <w:rsid w:val="28D27251"/>
    <w:rsid w:val="28E91306"/>
    <w:rsid w:val="28EF4827"/>
    <w:rsid w:val="2964062C"/>
    <w:rsid w:val="298D0D4A"/>
    <w:rsid w:val="29A749BD"/>
    <w:rsid w:val="29C70BBB"/>
    <w:rsid w:val="2A16744D"/>
    <w:rsid w:val="2A226DD7"/>
    <w:rsid w:val="2A4E4155"/>
    <w:rsid w:val="2A5F2BA2"/>
    <w:rsid w:val="2A7523C5"/>
    <w:rsid w:val="2A754CB8"/>
    <w:rsid w:val="2A781EB5"/>
    <w:rsid w:val="2B3B716B"/>
    <w:rsid w:val="2B3E22EB"/>
    <w:rsid w:val="2B936FA7"/>
    <w:rsid w:val="2BA74800"/>
    <w:rsid w:val="2BAC4914"/>
    <w:rsid w:val="2BAF68F3"/>
    <w:rsid w:val="2BB77DAF"/>
    <w:rsid w:val="2BF35C97"/>
    <w:rsid w:val="2CC22F4C"/>
    <w:rsid w:val="2CDC2BCF"/>
    <w:rsid w:val="2D0F7789"/>
    <w:rsid w:val="2D6F134E"/>
    <w:rsid w:val="2D855015"/>
    <w:rsid w:val="2D9139BA"/>
    <w:rsid w:val="2D927193"/>
    <w:rsid w:val="2DB377BA"/>
    <w:rsid w:val="2DB651CE"/>
    <w:rsid w:val="2DC66E9C"/>
    <w:rsid w:val="2DD613CD"/>
    <w:rsid w:val="2E25351D"/>
    <w:rsid w:val="2E6F2CAB"/>
    <w:rsid w:val="2E9C3130"/>
    <w:rsid w:val="2F2443BA"/>
    <w:rsid w:val="2F911A4F"/>
    <w:rsid w:val="2FC472E1"/>
    <w:rsid w:val="2FF43D8C"/>
    <w:rsid w:val="300F0BC6"/>
    <w:rsid w:val="3011493E"/>
    <w:rsid w:val="3046033B"/>
    <w:rsid w:val="304F7BF1"/>
    <w:rsid w:val="305F682B"/>
    <w:rsid w:val="307F7AFA"/>
    <w:rsid w:val="30B55C11"/>
    <w:rsid w:val="30DF4DE0"/>
    <w:rsid w:val="310331C5"/>
    <w:rsid w:val="311C71A6"/>
    <w:rsid w:val="31457AD2"/>
    <w:rsid w:val="317F0F3C"/>
    <w:rsid w:val="31A31F0E"/>
    <w:rsid w:val="31AF2FF1"/>
    <w:rsid w:val="31C53C32"/>
    <w:rsid w:val="32416D4A"/>
    <w:rsid w:val="32696B33"/>
    <w:rsid w:val="3274411F"/>
    <w:rsid w:val="32910B71"/>
    <w:rsid w:val="331B4576"/>
    <w:rsid w:val="332B3F2D"/>
    <w:rsid w:val="332D5E34"/>
    <w:rsid w:val="33561989"/>
    <w:rsid w:val="337B4EF0"/>
    <w:rsid w:val="337F6519"/>
    <w:rsid w:val="33876CCF"/>
    <w:rsid w:val="33996F3A"/>
    <w:rsid w:val="33B47E5A"/>
    <w:rsid w:val="33CD04F0"/>
    <w:rsid w:val="33E90836"/>
    <w:rsid w:val="340843CC"/>
    <w:rsid w:val="3413221E"/>
    <w:rsid w:val="34563267"/>
    <w:rsid w:val="346E07CB"/>
    <w:rsid w:val="346F52EC"/>
    <w:rsid w:val="347E440E"/>
    <w:rsid w:val="34A560C4"/>
    <w:rsid w:val="34DB551B"/>
    <w:rsid w:val="34F43E41"/>
    <w:rsid w:val="350C1B78"/>
    <w:rsid w:val="35243365"/>
    <w:rsid w:val="355E0625"/>
    <w:rsid w:val="356331C1"/>
    <w:rsid w:val="35904557"/>
    <w:rsid w:val="359A6716"/>
    <w:rsid w:val="35B26423"/>
    <w:rsid w:val="35E20CD8"/>
    <w:rsid w:val="360439AB"/>
    <w:rsid w:val="36274EBB"/>
    <w:rsid w:val="36391B41"/>
    <w:rsid w:val="36566B39"/>
    <w:rsid w:val="36DB5B57"/>
    <w:rsid w:val="37257F21"/>
    <w:rsid w:val="375F68D7"/>
    <w:rsid w:val="376932B2"/>
    <w:rsid w:val="37771C11"/>
    <w:rsid w:val="37AF5943"/>
    <w:rsid w:val="37E8220E"/>
    <w:rsid w:val="37F772DC"/>
    <w:rsid w:val="38104D1C"/>
    <w:rsid w:val="38261908"/>
    <w:rsid w:val="383C401D"/>
    <w:rsid w:val="385820D9"/>
    <w:rsid w:val="38C369F1"/>
    <w:rsid w:val="38D34E86"/>
    <w:rsid w:val="38F17A02"/>
    <w:rsid w:val="39643D30"/>
    <w:rsid w:val="396C11D4"/>
    <w:rsid w:val="39961091"/>
    <w:rsid w:val="3A173499"/>
    <w:rsid w:val="3A1779CA"/>
    <w:rsid w:val="3A325BDD"/>
    <w:rsid w:val="3AB605BC"/>
    <w:rsid w:val="3B085C22"/>
    <w:rsid w:val="3B381919"/>
    <w:rsid w:val="3B7F1DAA"/>
    <w:rsid w:val="3BCC3E0F"/>
    <w:rsid w:val="3BCE68FB"/>
    <w:rsid w:val="3C20213A"/>
    <w:rsid w:val="3C357C06"/>
    <w:rsid w:val="3C666012"/>
    <w:rsid w:val="3C834E15"/>
    <w:rsid w:val="3C862210"/>
    <w:rsid w:val="3C9C2330"/>
    <w:rsid w:val="3CB035E3"/>
    <w:rsid w:val="3CC02BB0"/>
    <w:rsid w:val="3D0777F5"/>
    <w:rsid w:val="3D141F11"/>
    <w:rsid w:val="3D541CB6"/>
    <w:rsid w:val="3D5D11C3"/>
    <w:rsid w:val="3D7B2FA4"/>
    <w:rsid w:val="3D934BE4"/>
    <w:rsid w:val="3DA933D9"/>
    <w:rsid w:val="3E5C147A"/>
    <w:rsid w:val="3E5D4B87"/>
    <w:rsid w:val="3E8F1850"/>
    <w:rsid w:val="3EA64DEB"/>
    <w:rsid w:val="3ED454B4"/>
    <w:rsid w:val="3EE940A2"/>
    <w:rsid w:val="3EF14B61"/>
    <w:rsid w:val="3EFC4A0B"/>
    <w:rsid w:val="3F3C7133"/>
    <w:rsid w:val="3F702B9F"/>
    <w:rsid w:val="3F7266BD"/>
    <w:rsid w:val="3F8073EA"/>
    <w:rsid w:val="3FAC6AC3"/>
    <w:rsid w:val="400754D5"/>
    <w:rsid w:val="400C0745"/>
    <w:rsid w:val="40616E91"/>
    <w:rsid w:val="406428AE"/>
    <w:rsid w:val="408D6263"/>
    <w:rsid w:val="409A183A"/>
    <w:rsid w:val="409A28D0"/>
    <w:rsid w:val="40A4087B"/>
    <w:rsid w:val="40D37683"/>
    <w:rsid w:val="41044FA1"/>
    <w:rsid w:val="41170D19"/>
    <w:rsid w:val="417D31BB"/>
    <w:rsid w:val="418D5D47"/>
    <w:rsid w:val="419A1D08"/>
    <w:rsid w:val="422449A5"/>
    <w:rsid w:val="425B4BB0"/>
    <w:rsid w:val="428D57F3"/>
    <w:rsid w:val="42982AA6"/>
    <w:rsid w:val="429E4757"/>
    <w:rsid w:val="429F38F6"/>
    <w:rsid w:val="42A017DC"/>
    <w:rsid w:val="42C10446"/>
    <w:rsid w:val="42C3069D"/>
    <w:rsid w:val="42CE59CE"/>
    <w:rsid w:val="42F205FF"/>
    <w:rsid w:val="43022211"/>
    <w:rsid w:val="43731849"/>
    <w:rsid w:val="437456E9"/>
    <w:rsid w:val="439E0787"/>
    <w:rsid w:val="43C929E5"/>
    <w:rsid w:val="43EF4B3E"/>
    <w:rsid w:val="44185E43"/>
    <w:rsid w:val="44223166"/>
    <w:rsid w:val="444255B6"/>
    <w:rsid w:val="444C01E3"/>
    <w:rsid w:val="44B6326A"/>
    <w:rsid w:val="44C61D43"/>
    <w:rsid w:val="452B604A"/>
    <w:rsid w:val="454550BB"/>
    <w:rsid w:val="455F7AA2"/>
    <w:rsid w:val="45633A36"/>
    <w:rsid w:val="45D87D6A"/>
    <w:rsid w:val="461266FA"/>
    <w:rsid w:val="46A506A8"/>
    <w:rsid w:val="46BF6A4A"/>
    <w:rsid w:val="4755115C"/>
    <w:rsid w:val="47F1530E"/>
    <w:rsid w:val="480706A9"/>
    <w:rsid w:val="481903DC"/>
    <w:rsid w:val="481E0C8F"/>
    <w:rsid w:val="482D0AEC"/>
    <w:rsid w:val="485B09F4"/>
    <w:rsid w:val="486A0C38"/>
    <w:rsid w:val="487A531F"/>
    <w:rsid w:val="48AD79E8"/>
    <w:rsid w:val="48BF2D31"/>
    <w:rsid w:val="48C54528"/>
    <w:rsid w:val="48E73B69"/>
    <w:rsid w:val="49207167"/>
    <w:rsid w:val="49325961"/>
    <w:rsid w:val="4943121B"/>
    <w:rsid w:val="49642010"/>
    <w:rsid w:val="49962466"/>
    <w:rsid w:val="499F4710"/>
    <w:rsid w:val="49A10689"/>
    <w:rsid w:val="49A66D65"/>
    <w:rsid w:val="49FC1D63"/>
    <w:rsid w:val="4A0C38CA"/>
    <w:rsid w:val="4A6D3ED5"/>
    <w:rsid w:val="4AD36268"/>
    <w:rsid w:val="4AE23EC6"/>
    <w:rsid w:val="4AF93D52"/>
    <w:rsid w:val="4B142D3C"/>
    <w:rsid w:val="4B1D4687"/>
    <w:rsid w:val="4B2A10CA"/>
    <w:rsid w:val="4B916986"/>
    <w:rsid w:val="4BA177A3"/>
    <w:rsid w:val="4BA54739"/>
    <w:rsid w:val="4BE11211"/>
    <w:rsid w:val="4C445285"/>
    <w:rsid w:val="4C4D5965"/>
    <w:rsid w:val="4C66282E"/>
    <w:rsid w:val="4C7C006C"/>
    <w:rsid w:val="4C866BF5"/>
    <w:rsid w:val="4CD11285"/>
    <w:rsid w:val="4D1817B0"/>
    <w:rsid w:val="4DCC10C7"/>
    <w:rsid w:val="4E301329"/>
    <w:rsid w:val="4E890ABD"/>
    <w:rsid w:val="4E93713A"/>
    <w:rsid w:val="4EF474AD"/>
    <w:rsid w:val="4F2D310F"/>
    <w:rsid w:val="4F3A517B"/>
    <w:rsid w:val="4F7B75CF"/>
    <w:rsid w:val="4F8E345D"/>
    <w:rsid w:val="4F9252FD"/>
    <w:rsid w:val="4FB5220D"/>
    <w:rsid w:val="4FDF0A64"/>
    <w:rsid w:val="4FEE6864"/>
    <w:rsid w:val="501E603E"/>
    <w:rsid w:val="50492993"/>
    <w:rsid w:val="506608EA"/>
    <w:rsid w:val="50770945"/>
    <w:rsid w:val="50C35B83"/>
    <w:rsid w:val="51165E00"/>
    <w:rsid w:val="518C153E"/>
    <w:rsid w:val="519F7BA4"/>
    <w:rsid w:val="52DA0FDF"/>
    <w:rsid w:val="52FD61A9"/>
    <w:rsid w:val="532C5467"/>
    <w:rsid w:val="53A019B1"/>
    <w:rsid w:val="542F3F6E"/>
    <w:rsid w:val="543168FC"/>
    <w:rsid w:val="546B754C"/>
    <w:rsid w:val="54DC4C6B"/>
    <w:rsid w:val="54DD29FD"/>
    <w:rsid w:val="550B0196"/>
    <w:rsid w:val="55265382"/>
    <w:rsid w:val="552B1DC7"/>
    <w:rsid w:val="558260F3"/>
    <w:rsid w:val="55A27241"/>
    <w:rsid w:val="55E46537"/>
    <w:rsid w:val="55EA33B8"/>
    <w:rsid w:val="55F14746"/>
    <w:rsid w:val="55FBBA20"/>
    <w:rsid w:val="56280CD4"/>
    <w:rsid w:val="562B067F"/>
    <w:rsid w:val="56464A92"/>
    <w:rsid w:val="56551C6A"/>
    <w:rsid w:val="56656D74"/>
    <w:rsid w:val="56D11EF1"/>
    <w:rsid w:val="56DC71A4"/>
    <w:rsid w:val="56E9366F"/>
    <w:rsid w:val="571921A6"/>
    <w:rsid w:val="57194FD6"/>
    <w:rsid w:val="572F6280"/>
    <w:rsid w:val="57390153"/>
    <w:rsid w:val="573B0D07"/>
    <w:rsid w:val="573D59D6"/>
    <w:rsid w:val="5756024D"/>
    <w:rsid w:val="57AA05D6"/>
    <w:rsid w:val="580764A3"/>
    <w:rsid w:val="58151530"/>
    <w:rsid w:val="587873A1"/>
    <w:rsid w:val="588A7858"/>
    <w:rsid w:val="58E71902"/>
    <w:rsid w:val="597C07CB"/>
    <w:rsid w:val="59A87B4E"/>
    <w:rsid w:val="59FE0F03"/>
    <w:rsid w:val="59FF3D53"/>
    <w:rsid w:val="5A463814"/>
    <w:rsid w:val="5A625C12"/>
    <w:rsid w:val="5AB04FA8"/>
    <w:rsid w:val="5AC67F41"/>
    <w:rsid w:val="5AE7166C"/>
    <w:rsid w:val="5B4D241F"/>
    <w:rsid w:val="5B99183B"/>
    <w:rsid w:val="5BAC35E9"/>
    <w:rsid w:val="5BB52297"/>
    <w:rsid w:val="5BF925A6"/>
    <w:rsid w:val="5C204D6D"/>
    <w:rsid w:val="5C517D52"/>
    <w:rsid w:val="5C677510"/>
    <w:rsid w:val="5C7B745F"/>
    <w:rsid w:val="5C94466B"/>
    <w:rsid w:val="5CB960E0"/>
    <w:rsid w:val="5D3C6091"/>
    <w:rsid w:val="5D977CD5"/>
    <w:rsid w:val="5D9E2F8E"/>
    <w:rsid w:val="5DD601BD"/>
    <w:rsid w:val="5E3847BC"/>
    <w:rsid w:val="5E644F47"/>
    <w:rsid w:val="5EC4000D"/>
    <w:rsid w:val="5EF0279F"/>
    <w:rsid w:val="5EFE318E"/>
    <w:rsid w:val="5F246A6F"/>
    <w:rsid w:val="5F357279"/>
    <w:rsid w:val="5F454D93"/>
    <w:rsid w:val="5F5C0E82"/>
    <w:rsid w:val="5FB34D3F"/>
    <w:rsid w:val="5FFF22A7"/>
    <w:rsid w:val="6093187E"/>
    <w:rsid w:val="60D61108"/>
    <w:rsid w:val="60D96503"/>
    <w:rsid w:val="60E07754"/>
    <w:rsid w:val="6114274A"/>
    <w:rsid w:val="616E30EF"/>
    <w:rsid w:val="61972646"/>
    <w:rsid w:val="61AA07C5"/>
    <w:rsid w:val="61C84333"/>
    <w:rsid w:val="61C86CA3"/>
    <w:rsid w:val="62051CA5"/>
    <w:rsid w:val="6227183C"/>
    <w:rsid w:val="627B64A9"/>
    <w:rsid w:val="62AD7C47"/>
    <w:rsid w:val="62B41C2D"/>
    <w:rsid w:val="62CA2F67"/>
    <w:rsid w:val="62E0626E"/>
    <w:rsid w:val="63071A4D"/>
    <w:rsid w:val="63126807"/>
    <w:rsid w:val="632308B3"/>
    <w:rsid w:val="632F3FF5"/>
    <w:rsid w:val="637F04C8"/>
    <w:rsid w:val="63897E22"/>
    <w:rsid w:val="63AF1201"/>
    <w:rsid w:val="63C93915"/>
    <w:rsid w:val="63D3083B"/>
    <w:rsid w:val="63DA3BD9"/>
    <w:rsid w:val="640026DC"/>
    <w:rsid w:val="648C243C"/>
    <w:rsid w:val="649015CE"/>
    <w:rsid w:val="64904C6C"/>
    <w:rsid w:val="651B21D8"/>
    <w:rsid w:val="65402A47"/>
    <w:rsid w:val="6547309D"/>
    <w:rsid w:val="65534AD5"/>
    <w:rsid w:val="656678BD"/>
    <w:rsid w:val="658E03F1"/>
    <w:rsid w:val="65DA462D"/>
    <w:rsid w:val="65DF6358"/>
    <w:rsid w:val="65E252B4"/>
    <w:rsid w:val="65E43A58"/>
    <w:rsid w:val="661701F9"/>
    <w:rsid w:val="662841B4"/>
    <w:rsid w:val="66700F18"/>
    <w:rsid w:val="670267B3"/>
    <w:rsid w:val="670A38BA"/>
    <w:rsid w:val="67717495"/>
    <w:rsid w:val="67B3225E"/>
    <w:rsid w:val="67B4014E"/>
    <w:rsid w:val="67D0065F"/>
    <w:rsid w:val="6805523B"/>
    <w:rsid w:val="682275BA"/>
    <w:rsid w:val="68B00491"/>
    <w:rsid w:val="68C46B1E"/>
    <w:rsid w:val="69191DDB"/>
    <w:rsid w:val="697E40EB"/>
    <w:rsid w:val="69804054"/>
    <w:rsid w:val="69A47FF6"/>
    <w:rsid w:val="69C2222A"/>
    <w:rsid w:val="69F61ED3"/>
    <w:rsid w:val="69FD14B4"/>
    <w:rsid w:val="6A1E682D"/>
    <w:rsid w:val="6A533C69"/>
    <w:rsid w:val="6A674B7F"/>
    <w:rsid w:val="6A865B0E"/>
    <w:rsid w:val="6AB065ED"/>
    <w:rsid w:val="6AEA497E"/>
    <w:rsid w:val="6AF82027"/>
    <w:rsid w:val="6B082180"/>
    <w:rsid w:val="6B27473B"/>
    <w:rsid w:val="6B315BEF"/>
    <w:rsid w:val="6B447492"/>
    <w:rsid w:val="6B5F37D6"/>
    <w:rsid w:val="6B833C3B"/>
    <w:rsid w:val="6B8F25E0"/>
    <w:rsid w:val="6BAA566B"/>
    <w:rsid w:val="6BB05A55"/>
    <w:rsid w:val="6BF51D6D"/>
    <w:rsid w:val="6C3E23F7"/>
    <w:rsid w:val="6C9658B2"/>
    <w:rsid w:val="6CBD10E9"/>
    <w:rsid w:val="6CE51760"/>
    <w:rsid w:val="6CFA2B05"/>
    <w:rsid w:val="6CFA58F7"/>
    <w:rsid w:val="6CFF105E"/>
    <w:rsid w:val="6D7970A3"/>
    <w:rsid w:val="6DA0701C"/>
    <w:rsid w:val="6DA6417B"/>
    <w:rsid w:val="6DAE2237"/>
    <w:rsid w:val="6DB607F7"/>
    <w:rsid w:val="6DD15C99"/>
    <w:rsid w:val="6DDE20FB"/>
    <w:rsid w:val="6DDF2A1D"/>
    <w:rsid w:val="6DF826BE"/>
    <w:rsid w:val="6E056B89"/>
    <w:rsid w:val="6E3C0AD7"/>
    <w:rsid w:val="6E4C0C5C"/>
    <w:rsid w:val="6E8B493F"/>
    <w:rsid w:val="6EA77C40"/>
    <w:rsid w:val="6EAB14DE"/>
    <w:rsid w:val="6EC407F2"/>
    <w:rsid w:val="6F7356F0"/>
    <w:rsid w:val="6F8F2BAE"/>
    <w:rsid w:val="6FBA4F4B"/>
    <w:rsid w:val="6FD33349"/>
    <w:rsid w:val="6FE22639"/>
    <w:rsid w:val="70756C59"/>
    <w:rsid w:val="709513D6"/>
    <w:rsid w:val="70C77CF4"/>
    <w:rsid w:val="70F058CE"/>
    <w:rsid w:val="71057466"/>
    <w:rsid w:val="710F6395"/>
    <w:rsid w:val="712D4BD3"/>
    <w:rsid w:val="71307EC7"/>
    <w:rsid w:val="71445D2F"/>
    <w:rsid w:val="71732D16"/>
    <w:rsid w:val="71C065A8"/>
    <w:rsid w:val="71D417DA"/>
    <w:rsid w:val="71D747D4"/>
    <w:rsid w:val="72233EBE"/>
    <w:rsid w:val="72467C8C"/>
    <w:rsid w:val="72B1108D"/>
    <w:rsid w:val="7349727C"/>
    <w:rsid w:val="736A5E0C"/>
    <w:rsid w:val="73861C9A"/>
    <w:rsid w:val="73B10E8D"/>
    <w:rsid w:val="73ED4347"/>
    <w:rsid w:val="73F83A4B"/>
    <w:rsid w:val="745727B9"/>
    <w:rsid w:val="749173C8"/>
    <w:rsid w:val="749D510E"/>
    <w:rsid w:val="74C55CDC"/>
    <w:rsid w:val="74F021A3"/>
    <w:rsid w:val="74FF3425"/>
    <w:rsid w:val="755A388A"/>
    <w:rsid w:val="75DF4F20"/>
    <w:rsid w:val="763528A1"/>
    <w:rsid w:val="76553412"/>
    <w:rsid w:val="76687D8F"/>
    <w:rsid w:val="768449CF"/>
    <w:rsid w:val="76AC673B"/>
    <w:rsid w:val="76B05A6D"/>
    <w:rsid w:val="76BA0388"/>
    <w:rsid w:val="76C770D1"/>
    <w:rsid w:val="76D06EE1"/>
    <w:rsid w:val="76E40BD9"/>
    <w:rsid w:val="775F06AD"/>
    <w:rsid w:val="77732DB5"/>
    <w:rsid w:val="777C6B6F"/>
    <w:rsid w:val="777F2D77"/>
    <w:rsid w:val="77B6314B"/>
    <w:rsid w:val="77B718FD"/>
    <w:rsid w:val="77DF669D"/>
    <w:rsid w:val="786F0C44"/>
    <w:rsid w:val="78923FFB"/>
    <w:rsid w:val="789771CB"/>
    <w:rsid w:val="78D541CE"/>
    <w:rsid w:val="791F38A5"/>
    <w:rsid w:val="7939722C"/>
    <w:rsid w:val="796055BB"/>
    <w:rsid w:val="797F5A41"/>
    <w:rsid w:val="79B138B7"/>
    <w:rsid w:val="7A1A439A"/>
    <w:rsid w:val="7A3A1772"/>
    <w:rsid w:val="7A4627FB"/>
    <w:rsid w:val="7A4D50FB"/>
    <w:rsid w:val="7A5910FC"/>
    <w:rsid w:val="7A6F108A"/>
    <w:rsid w:val="7AA634A2"/>
    <w:rsid w:val="7AAB7C25"/>
    <w:rsid w:val="7ABE4C8F"/>
    <w:rsid w:val="7AD95625"/>
    <w:rsid w:val="7B274B59"/>
    <w:rsid w:val="7B5F5B2A"/>
    <w:rsid w:val="7C25072B"/>
    <w:rsid w:val="7C2A25DC"/>
    <w:rsid w:val="7C460A98"/>
    <w:rsid w:val="7C58298B"/>
    <w:rsid w:val="7C943EFA"/>
    <w:rsid w:val="7CDF1F86"/>
    <w:rsid w:val="7CF40993"/>
    <w:rsid w:val="7D0821F2"/>
    <w:rsid w:val="7D23413D"/>
    <w:rsid w:val="7D9C12B8"/>
    <w:rsid w:val="7DCE701D"/>
    <w:rsid w:val="7E026C41"/>
    <w:rsid w:val="7E10135E"/>
    <w:rsid w:val="7E12157A"/>
    <w:rsid w:val="7E270ED9"/>
    <w:rsid w:val="7E2F3AA9"/>
    <w:rsid w:val="7E494870"/>
    <w:rsid w:val="7E6B7153"/>
    <w:rsid w:val="7EC842B0"/>
    <w:rsid w:val="7EF0118F"/>
    <w:rsid w:val="7F211349"/>
    <w:rsid w:val="7F5E434B"/>
    <w:rsid w:val="7F6C6BA7"/>
    <w:rsid w:val="7F9056C0"/>
    <w:rsid w:val="7F992B6F"/>
    <w:rsid w:val="7FE945FE"/>
    <w:rsid w:val="7FEC0DC8"/>
    <w:rsid w:val="CE3BB99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sz w:val="30"/>
    </w:rPr>
  </w:style>
  <w:style w:type="paragraph" w:styleId="4">
    <w:name w:val="Body Text Indent"/>
    <w:basedOn w:val="1"/>
    <w:next w:val="3"/>
    <w:semiHidden/>
    <w:qFormat/>
    <w:uiPriority w:val="0"/>
    <w:pPr>
      <w:spacing w:after="120"/>
      <w:ind w:left="420" w:leftChars="200"/>
    </w:pPr>
    <w:rPr>
      <w:kern w:val="0"/>
      <w:szCs w:val="20"/>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Title"/>
    <w:basedOn w:val="1"/>
    <w:next w:val="1"/>
    <w:qFormat/>
    <w:uiPriority w:val="0"/>
    <w:pPr>
      <w:spacing w:before="240" w:after="60"/>
      <w:jc w:val="center"/>
      <w:outlineLvl w:val="0"/>
    </w:pPr>
    <w:rPr>
      <w:rFonts w:asciiTheme="majorHAnsi" w:hAnsiTheme="majorHAnsi" w:cstheme="majorBidi"/>
      <w:b/>
      <w:bCs/>
      <w:sz w:val="32"/>
      <w:szCs w:val="32"/>
    </w:rPr>
  </w:style>
  <w:style w:type="paragraph" w:styleId="12">
    <w:name w:val="Body Text First Indent"/>
    <w:basedOn w:val="3"/>
    <w:qFormat/>
    <w:uiPriority w:val="0"/>
    <w:pPr>
      <w:spacing w:after="0"/>
      <w:ind w:firstLine="420" w:firstLineChars="100"/>
    </w:pPr>
    <w:rPr>
      <w:sz w:val="24"/>
      <w:szCs w:val="24"/>
    </w:rPr>
  </w:style>
  <w:style w:type="paragraph" w:styleId="13">
    <w:name w:val="Body Text First Indent 2"/>
    <w:basedOn w:val="4"/>
    <w:next w:val="12"/>
    <w:qFormat/>
    <w:uiPriority w:val="0"/>
    <w:pPr>
      <w:ind w:left="200" w:firstLine="420" w:firstLineChars="200"/>
    </w:pPr>
    <w:rPr>
      <w:sz w:val="24"/>
      <w:szCs w:val="24"/>
    </w:rPr>
  </w:style>
  <w:style w:type="character" w:styleId="16">
    <w:name w:val="Strong"/>
    <w:basedOn w:val="15"/>
    <w:qFormat/>
    <w:uiPriority w:val="0"/>
    <w:rPr>
      <w:b/>
    </w:rPr>
  </w:style>
  <w:style w:type="character" w:styleId="17">
    <w:name w:val="page number"/>
    <w:basedOn w:val="15"/>
    <w:qFormat/>
    <w:uiPriority w:val="0"/>
  </w:style>
  <w:style w:type="character" w:styleId="18">
    <w:name w:val="FollowedHyperlink"/>
    <w:basedOn w:val="15"/>
    <w:qFormat/>
    <w:uiPriority w:val="0"/>
    <w:rPr>
      <w:color w:val="2490F8"/>
      <w:u w:val="none"/>
    </w:rPr>
  </w:style>
  <w:style w:type="character" w:styleId="19">
    <w:name w:val="HTML Definition"/>
    <w:basedOn w:val="15"/>
    <w:qFormat/>
    <w:uiPriority w:val="0"/>
  </w:style>
  <w:style w:type="character" w:styleId="20">
    <w:name w:val="HTML Variable"/>
    <w:basedOn w:val="15"/>
    <w:qFormat/>
    <w:uiPriority w:val="0"/>
  </w:style>
  <w:style w:type="character" w:styleId="21">
    <w:name w:val="Hyperlink"/>
    <w:basedOn w:val="15"/>
    <w:qFormat/>
    <w:uiPriority w:val="0"/>
    <w:rPr>
      <w:color w:val="0000FF"/>
      <w:u w:val="single"/>
    </w:rPr>
  </w:style>
  <w:style w:type="character" w:styleId="22">
    <w:name w:val="HTML Code"/>
    <w:basedOn w:val="15"/>
    <w:qFormat/>
    <w:uiPriority w:val="0"/>
    <w:rPr>
      <w:rFonts w:ascii="Courier New" w:hAnsi="Courier New"/>
      <w:sz w:val="20"/>
    </w:rPr>
  </w:style>
  <w:style w:type="character" w:styleId="23">
    <w:name w:val="HTML Cite"/>
    <w:basedOn w:val="15"/>
    <w:qFormat/>
    <w:uiPriority w:val="0"/>
  </w:style>
  <w:style w:type="paragraph" w:customStyle="1" w:styleId="24">
    <w:name w:val="正文-公1"/>
    <w:basedOn w:val="1"/>
    <w:next w:val="8"/>
    <w:qFormat/>
    <w:uiPriority w:val="4"/>
    <w:pPr>
      <w:ind w:firstLine="200" w:firstLineChars="200"/>
    </w:pPr>
  </w:style>
  <w:style w:type="paragraph" w:customStyle="1" w:styleId="25">
    <w:name w:val="No Spacing"/>
    <w:qFormat/>
    <w:uiPriority w:val="1"/>
    <w:pPr>
      <w:adjustRightInd w:val="0"/>
      <w:snapToGrid w:val="0"/>
      <w:spacing w:after="0" w:line="240" w:lineRule="auto"/>
    </w:pPr>
    <w:rPr>
      <w:rFonts w:ascii="Tahoma" w:hAnsi="Tahoma" w:eastAsia="微软雅黑" w:cs="Times New Roman"/>
      <w:sz w:val="22"/>
      <w:szCs w:val="22"/>
      <w:lang w:val="en-US" w:eastAsia="zh-CN" w:bidi="ar-SA"/>
    </w:rPr>
  </w:style>
  <w:style w:type="paragraph" w:customStyle="1" w:styleId="26">
    <w:name w:val="p0"/>
    <w:basedOn w:val="1"/>
    <w:qFormat/>
    <w:uiPriority w:val="0"/>
    <w:pPr>
      <w:widowControl/>
    </w:pPr>
    <w:rPr>
      <w:kern w:val="0"/>
      <w:szCs w:val="21"/>
    </w:rPr>
  </w:style>
  <w:style w:type="paragraph" w:customStyle="1" w:styleId="27">
    <w:name w:val="w_正文"/>
    <w:basedOn w:val="1"/>
    <w:qFormat/>
    <w:uiPriority w:val="0"/>
    <w:pPr>
      <w:widowControl/>
      <w:tabs>
        <w:tab w:val="center" w:pos="4201"/>
        <w:tab w:val="right" w:leader="dot" w:pos="9298"/>
      </w:tabs>
      <w:autoSpaceDE w:val="0"/>
      <w:autoSpaceDN w:val="0"/>
      <w:spacing w:line="500" w:lineRule="exact"/>
      <w:ind w:firstLine="200" w:firstLineChars="200"/>
    </w:pPr>
    <w:rPr>
      <w:rFonts w:eastAsia="仿宋"/>
      <w:kern w:val="0"/>
      <w:sz w:val="28"/>
      <w:szCs w:val="20"/>
    </w:rPr>
  </w:style>
  <w:style w:type="character" w:customStyle="1" w:styleId="28">
    <w:name w:val="edit_class"/>
    <w:basedOn w:val="15"/>
    <w:qFormat/>
    <w:uiPriority w:val="0"/>
  </w:style>
  <w:style w:type="character" w:customStyle="1" w:styleId="29">
    <w:name w:val="cy"/>
    <w:basedOn w:val="15"/>
    <w:qFormat/>
    <w:uiPriority w:val="0"/>
  </w:style>
  <w:style w:type="character" w:customStyle="1" w:styleId="30">
    <w:name w:val="layui-layer-tabnow"/>
    <w:basedOn w:val="15"/>
    <w:qFormat/>
    <w:uiPriority w:val="0"/>
    <w:rPr>
      <w:bdr w:val="single" w:color="CCCCCC" w:sz="4" w:space="0"/>
      <w:shd w:val="clear" w:fill="FFFFFF"/>
    </w:rPr>
  </w:style>
  <w:style w:type="character" w:customStyle="1" w:styleId="31">
    <w:name w:val="pagechatarealistclose_box"/>
    <w:basedOn w:val="15"/>
    <w:qFormat/>
    <w:uiPriority w:val="0"/>
  </w:style>
  <w:style w:type="character" w:customStyle="1" w:styleId="32">
    <w:name w:val="pagechatarealistclose_box1"/>
    <w:basedOn w:val="15"/>
    <w:qFormat/>
    <w:uiPriority w:val="0"/>
  </w:style>
  <w:style w:type="character" w:customStyle="1" w:styleId="33">
    <w:name w:val="active5"/>
    <w:basedOn w:val="15"/>
    <w:qFormat/>
    <w:uiPriority w:val="0"/>
    <w:rPr>
      <w:shd w:val="clear" w:fill="EC3535"/>
    </w:rPr>
  </w:style>
  <w:style w:type="character" w:customStyle="1" w:styleId="34">
    <w:name w:val="active6"/>
    <w:basedOn w:val="15"/>
    <w:qFormat/>
    <w:uiPriority w:val="0"/>
    <w:rPr>
      <w:color w:val="00FF00"/>
      <w:shd w:val="clear" w:fill="111111"/>
    </w:rPr>
  </w:style>
  <w:style w:type="character" w:customStyle="1" w:styleId="35">
    <w:name w:val="hilite"/>
    <w:basedOn w:val="15"/>
    <w:qFormat/>
    <w:uiPriority w:val="0"/>
    <w:rPr>
      <w:color w:val="FFFFFF"/>
      <w:shd w:val="clear" w:fill="666666"/>
    </w:rPr>
  </w:style>
  <w:style w:type="character" w:customStyle="1" w:styleId="36">
    <w:name w:val="cdropleft"/>
    <w:basedOn w:val="15"/>
    <w:qFormat/>
    <w:uiPriority w:val="0"/>
  </w:style>
  <w:style w:type="character" w:customStyle="1" w:styleId="37">
    <w:name w:val="w32"/>
    <w:basedOn w:val="15"/>
    <w:qFormat/>
    <w:uiPriority w:val="0"/>
  </w:style>
  <w:style w:type="character" w:customStyle="1" w:styleId="38">
    <w:name w:val="iconline2"/>
    <w:basedOn w:val="15"/>
    <w:qFormat/>
    <w:uiPriority w:val="0"/>
  </w:style>
  <w:style w:type="character" w:customStyle="1" w:styleId="39">
    <w:name w:val="cdropright"/>
    <w:basedOn w:val="15"/>
    <w:qFormat/>
    <w:uiPriority w:val="0"/>
  </w:style>
  <w:style w:type="character" w:customStyle="1" w:styleId="40">
    <w:name w:val="ico1654"/>
    <w:basedOn w:val="15"/>
    <w:qFormat/>
    <w:uiPriority w:val="0"/>
  </w:style>
  <w:style w:type="character" w:customStyle="1" w:styleId="41">
    <w:name w:val="ico1655"/>
    <w:basedOn w:val="15"/>
    <w:qFormat/>
    <w:uiPriority w:val="0"/>
  </w:style>
  <w:style w:type="character" w:customStyle="1" w:styleId="42">
    <w:name w:val="drapbtn"/>
    <w:basedOn w:val="15"/>
    <w:qFormat/>
    <w:uiPriority w:val="0"/>
  </w:style>
  <w:style w:type="character" w:customStyle="1" w:styleId="43">
    <w:name w:val="button"/>
    <w:basedOn w:val="15"/>
    <w:qFormat/>
    <w:uiPriority w:val="0"/>
  </w:style>
  <w:style w:type="character" w:customStyle="1" w:styleId="44">
    <w:name w:val="design_class"/>
    <w:basedOn w:val="15"/>
    <w:qFormat/>
    <w:uiPriority w:val="0"/>
  </w:style>
  <w:style w:type="character" w:customStyle="1" w:styleId="45">
    <w:name w:val="biggerthanmax"/>
    <w:basedOn w:val="15"/>
    <w:qFormat/>
    <w:uiPriority w:val="0"/>
    <w:rPr>
      <w:shd w:val="clear" w:fill="FFFF00"/>
    </w:rPr>
  </w:style>
  <w:style w:type="character" w:customStyle="1" w:styleId="46">
    <w:name w:val="icontext1"/>
    <w:basedOn w:val="15"/>
    <w:qFormat/>
    <w:uiPriority w:val="0"/>
  </w:style>
  <w:style w:type="character" w:customStyle="1" w:styleId="47">
    <w:name w:val="icontext11"/>
    <w:basedOn w:val="15"/>
    <w:qFormat/>
    <w:uiPriority w:val="0"/>
  </w:style>
  <w:style w:type="character" w:customStyle="1" w:styleId="48">
    <w:name w:val="icontext12"/>
    <w:basedOn w:val="15"/>
    <w:qFormat/>
    <w:uiPriority w:val="0"/>
  </w:style>
  <w:style w:type="character" w:customStyle="1" w:styleId="49">
    <w:name w:val="after"/>
    <w:basedOn w:val="15"/>
    <w:qFormat/>
    <w:uiPriority w:val="0"/>
    <w:rPr>
      <w:sz w:val="0"/>
      <w:szCs w:val="0"/>
    </w:rPr>
  </w:style>
  <w:style w:type="character" w:customStyle="1" w:styleId="50">
    <w:name w:val="icontext2"/>
    <w:basedOn w:val="15"/>
    <w:qFormat/>
    <w:uiPriority w:val="0"/>
  </w:style>
  <w:style w:type="character" w:customStyle="1" w:styleId="51">
    <w:name w:val="icontext3"/>
    <w:basedOn w:val="15"/>
    <w:qFormat/>
    <w:uiPriority w:val="0"/>
  </w:style>
  <w:style w:type="character" w:customStyle="1" w:styleId="52">
    <w:name w:val="xdrichtextbox"/>
    <w:basedOn w:val="15"/>
    <w:qFormat/>
    <w:uiPriority w:val="0"/>
    <w:rPr>
      <w:color w:val="auto"/>
      <w:u w:val="none"/>
      <w:bdr w:val="single" w:color="DCDCDC" w:sz="8" w:space="0"/>
      <w:shd w:val="clear" w:fill="auto"/>
    </w:rPr>
  </w:style>
  <w:style w:type="character" w:customStyle="1" w:styleId="53">
    <w:name w:val="associateddata"/>
    <w:basedOn w:val="15"/>
    <w:qFormat/>
    <w:uiPriority w:val="0"/>
    <w:rPr>
      <w:shd w:val="clear" w:fill="50A6F9"/>
    </w:rPr>
  </w:style>
  <w:style w:type="character" w:customStyle="1" w:styleId="54">
    <w:name w:val="tmpztreemove_arrow"/>
    <w:basedOn w:val="15"/>
    <w:qFormat/>
    <w:uiPriority w:val="0"/>
  </w:style>
  <w:style w:type="character" w:customStyle="1" w:styleId="55">
    <w:name w:val="first-child"/>
    <w:basedOn w:val="15"/>
    <w:qFormat/>
    <w:uiPriority w:val="0"/>
  </w:style>
  <w:style w:type="character" w:customStyle="1" w:styleId="56">
    <w:name w:val="hover41"/>
    <w:basedOn w:val="15"/>
    <w:qFormat/>
    <w:uiPriority w:val="0"/>
    <w:rPr>
      <w:color w:val="FFFFFF"/>
    </w:rPr>
  </w:style>
  <w:style w:type="character" w:customStyle="1" w:styleId="57">
    <w:name w:val="choosename"/>
    <w:basedOn w:val="1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3510</Words>
  <Characters>3871</Characters>
  <Lines>2</Lines>
  <Paragraphs>1</Paragraphs>
  <TotalTime>991</TotalTime>
  <ScaleCrop>false</ScaleCrop>
  <LinksUpToDate>false</LinksUpToDate>
  <CharactersWithSpaces>3975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2016-02-04T07:44:00Z</dcterms:created>
  <dc:creator>User</dc:creator>
  <cp:lastModifiedBy></cp:lastModifiedBy>
  <cp:lastPrinted>2024-12-30T16:38:00Z</cp:lastPrinted>
  <dcterms:modified xsi:type="dcterms:W3CDTF">2025-04-22T02:47:32Z</dcterms:modified>
  <dc:title>盘国土资发〔2012〕3号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EC7BE5D07C58401E9C6BD840CDC9F2C5_13</vt:lpwstr>
  </property>
  <property fmtid="{D5CDD505-2E9C-101B-9397-08002B2CF9AE}" pid="4" name="KSOSaveFontToCloudKey">
    <vt:lpwstr>407554415_btnclosed</vt:lpwstr>
  </property>
  <property fmtid="{D5CDD505-2E9C-101B-9397-08002B2CF9AE}" pid="5" name="KSOTemplateDocerSaveRecord">
    <vt:lpwstr>eyJoZGlkIjoiNmFkYTBjNjAxYjczOWJlN2RkY2ExYmY1YzRiZWMxYzYiLCJ1c2VySWQiOiI0MTkzNDU1NzcifQ==</vt:lpwstr>
  </property>
</Properties>
</file>