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2023年盘州市卫生健康局政府信息公开工作年度报告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ascii="微软雅黑" w:hAnsi="微软雅黑" w:eastAsia="微软雅黑" w:cs="微软雅黑"/>
          <w:color w:val="333333"/>
          <w:spacing w:val="0"/>
          <w:sz w:val="24"/>
          <w:szCs w:val="24"/>
          <w:shd w:val="clear" w:fill="FFFFFF"/>
        </w:rPr>
        <w:t>本年度报告根据《中华人民共和国政府信息公开条例》相关规定和市政府要求，结合202</w:t>
      </w:r>
      <w:r>
        <w:rPr>
          <w:rFonts w:hint="eastAsia" w:ascii="微软雅黑" w:hAnsi="微软雅黑" w:eastAsia="微软雅黑" w:cs="微软雅黑"/>
          <w:color w:val="333333"/>
          <w:spacing w:val="0"/>
          <w:sz w:val="24"/>
          <w:szCs w:val="24"/>
          <w:shd w:val="clear" w:fill="FFFFFF"/>
          <w:lang w:val="en-US" w:eastAsia="zh-CN"/>
        </w:rPr>
        <w:t>3</w:t>
      </w:r>
      <w:r>
        <w:rPr>
          <w:rFonts w:ascii="微软雅黑" w:hAnsi="微软雅黑" w:eastAsia="微软雅黑" w:cs="微软雅黑"/>
          <w:color w:val="333333"/>
          <w:spacing w:val="0"/>
          <w:sz w:val="24"/>
          <w:szCs w:val="24"/>
          <w:shd w:val="clear" w:fill="FFFFFF"/>
        </w:rPr>
        <w:t>年盘州市卫生健康局信息公开工作实际，现将我局2023年度政府信息公开工作相关情况报告如下：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本报告包括总体情况、主动公开政府信息情况、收到和处理政府信息公开申请情况、信息公开工作被申请行政复议和提起行政诉讼情况、政府信息公开工作存在的主要问题及改进情况、其他需要报告的事项。本年度报告统计数据的期限为2023年1月1日至202</w:t>
      </w:r>
      <w:r>
        <w:rPr>
          <w:rFonts w:hint="eastAsia" w:ascii="微软雅黑" w:hAnsi="微软雅黑" w:eastAsia="微软雅黑" w:cs="微软雅黑"/>
          <w:color w:val="333333"/>
          <w:spacing w:val="0"/>
          <w:sz w:val="24"/>
          <w:szCs w:val="24"/>
          <w:shd w:val="clear" w:fill="FFFFFF"/>
          <w:lang w:val="en-US" w:eastAsia="zh-CN"/>
        </w:rPr>
        <w:t>3</w:t>
      </w:r>
      <w:r>
        <w:rPr>
          <w:rFonts w:hint="eastAsia" w:ascii="微软雅黑" w:hAnsi="微软雅黑" w:eastAsia="微软雅黑" w:cs="微软雅黑"/>
          <w:color w:val="333333"/>
          <w:spacing w:val="0"/>
          <w:sz w:val="24"/>
          <w:szCs w:val="24"/>
          <w:shd w:val="clear" w:fill="FFFFFF"/>
        </w:rPr>
        <w:t>年12月31日。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ascii="微软雅黑" w:hAnsi="微软雅黑" w:eastAsia="微软雅黑" w:cs="微软雅黑"/>
          <w:color w:val="333333"/>
          <w:spacing w:val="0"/>
          <w:sz w:val="24"/>
          <w:szCs w:val="24"/>
          <w:shd w:val="clear" w:fill="FFFFFF"/>
        </w:rPr>
        <w:t>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（一）主动公开。2023年，盘州市卫生健康局累计主动公开政务信息61条，公开的信息包括疾病防控、健康盘州、政策文件、工作动态等内容。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（二）依申请公开。盘州市卫生健康局没有收到依申请公开事项。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三）政务信息管理。领导高度重视，指定专人负责信息公开工作。贯彻落实信息公开制度、保密审查制度，制定和完善信息公开实施方案，规范信息公开内容、公开渠道、公开时间、公开程序、保障措施，做到信息公开及时、全面、安全、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微软雅黑" w:hAnsi="微软雅黑" w:eastAsia="微软雅黑" w:cs="微软雅黑"/>
          <w:color w:val="333333"/>
          <w:spacing w:val="0"/>
          <w:sz w:val="24"/>
          <w:szCs w:val="24"/>
          <w:shd w:val="clear" w:fill="FFFFFF"/>
        </w:rPr>
      </w:pPr>
      <w:r>
        <w:rPr>
          <w:rFonts w:hint="eastAsia" w:ascii="微软雅黑" w:hAnsi="微软雅黑" w:eastAsia="微软雅黑" w:cs="微软雅黑"/>
          <w:color w:val="333333"/>
          <w:spacing w:val="0"/>
          <w:sz w:val="24"/>
          <w:szCs w:val="24"/>
          <w:shd w:val="clear" w:fill="FFFFFF"/>
        </w:rPr>
        <w:t>（四）监督保障。加强政府信息公开的推进、指导、协调、监督。坚持“一把手亲自抓、分管领导具体抓、责任到科室、落实到人头”的工作机制，细化责任目标，有效推动信息公开工作落实。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微软雅黑" w:hAnsi="微软雅黑" w:eastAsia="微软雅黑" w:cs="微软雅黑"/>
          <w:color w:val="333333"/>
          <w:spacing w:val="0"/>
          <w:sz w:val="24"/>
          <w:szCs w:val="24"/>
          <w:shd w:val="clear" w:fill="FFFFFF"/>
          <w:lang w:val="en-US" w:eastAsia="zh-CN"/>
        </w:rPr>
      </w:pPr>
      <w:r>
        <w:rPr>
          <w:rFonts w:hint="eastAsia" w:ascii="微软雅黑" w:hAnsi="微软雅黑" w:eastAsia="微软雅黑" w:cs="微软雅黑"/>
          <w:color w:val="333333"/>
          <w:spacing w:val="0"/>
          <w:sz w:val="24"/>
          <w:szCs w:val="24"/>
          <w:shd w:val="clear" w:fill="FFFFFF"/>
          <w:lang w:eastAsia="zh-CN"/>
        </w:rPr>
        <w:t>（</w:t>
      </w:r>
      <w:r>
        <w:rPr>
          <w:rFonts w:hint="eastAsia" w:ascii="微软雅黑" w:hAnsi="微软雅黑" w:eastAsia="微软雅黑" w:cs="微软雅黑"/>
          <w:color w:val="333333"/>
          <w:spacing w:val="0"/>
          <w:sz w:val="24"/>
          <w:szCs w:val="24"/>
          <w:shd w:val="clear" w:fill="FFFFFF"/>
          <w:lang w:val="en-US" w:eastAsia="zh-CN"/>
        </w:rPr>
        <w:t>五</w:t>
      </w:r>
      <w:r>
        <w:rPr>
          <w:rFonts w:hint="eastAsia" w:ascii="微软雅黑" w:hAnsi="微软雅黑" w:eastAsia="微软雅黑" w:cs="微软雅黑"/>
          <w:color w:val="333333"/>
          <w:spacing w:val="0"/>
          <w:sz w:val="24"/>
          <w:szCs w:val="24"/>
          <w:shd w:val="clear" w:fill="FFFFFF"/>
          <w:lang w:eastAsia="zh-CN"/>
        </w:rPr>
        <w:t>）</w:t>
      </w:r>
      <w:r>
        <w:rPr>
          <w:rFonts w:hint="eastAsia" w:ascii="微软雅黑" w:hAnsi="微软雅黑" w:eastAsia="微软雅黑" w:cs="微软雅黑"/>
          <w:color w:val="333333"/>
          <w:spacing w:val="0"/>
          <w:sz w:val="24"/>
          <w:szCs w:val="24"/>
          <w:shd w:val="clear" w:fill="FFFFFF"/>
          <w:lang w:val="en-US" w:eastAsia="zh-CN"/>
        </w:rPr>
        <w:t>平台建设情况。大力推进平台建设，增设行政执法、健康盘州栏目，</w:t>
      </w:r>
      <w:bookmarkStart w:id="0" w:name="_GoBack"/>
      <w:bookmarkEnd w:id="0"/>
      <w:r>
        <w:rPr>
          <w:rFonts w:hint="eastAsia" w:ascii="微软雅黑" w:hAnsi="微软雅黑" w:eastAsia="微软雅黑" w:cs="微软雅黑"/>
          <w:color w:val="333333"/>
          <w:spacing w:val="0"/>
          <w:sz w:val="24"/>
          <w:szCs w:val="24"/>
          <w:shd w:val="clear" w:fill="FFFFFF"/>
          <w:lang w:val="en-US" w:eastAsia="zh-CN"/>
        </w:rPr>
        <w:t>不断优化公开方式，提升公开时效，坚持把盘州市人民政府网站作为政府信息公开的第一平台，加强网站建设、管理和运维工作，及时公布重点工作进展。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微软雅黑" w:hAnsi="微软雅黑" w:eastAsia="微软雅黑" w:cs="微软雅黑"/>
          <w:color w:val="333333"/>
          <w:spacing w:val="0"/>
          <w:sz w:val="24"/>
          <w:szCs w:val="24"/>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二、主动公开政府信息情况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025"/>
        <w:gridCol w:w="2025"/>
        <w:gridCol w:w="2025"/>
        <w:gridCol w:w="202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00" w:hRule="atLeast"/>
          <w:jc w:val="center"/>
        </w:trPr>
        <w:tc>
          <w:tcPr>
            <w:tcW w:w="2025" w:type="dxa"/>
            <w:gridSpan w:val="4"/>
            <w:tcBorders>
              <w:top w:val="single" w:color="auto" w:sz="6" w:space="0"/>
              <w:left w:val="single" w:color="auto" w:sz="6" w:space="0"/>
              <w:bottom w:val="single" w:color="auto" w:sz="6" w:space="0"/>
              <w:right w:val="single" w:color="auto" w:sz="6" w:space="0"/>
            </w:tcBorders>
            <w:shd w:val="clear" w:color="auto" w:fill="C6D9F1"/>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信息内容</w:t>
            </w:r>
          </w:p>
        </w:tc>
        <w:tc>
          <w:tcPr>
            <w:tcW w:w="2025"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本年制发件数</w:t>
            </w:r>
          </w:p>
        </w:tc>
        <w:tc>
          <w:tcPr>
            <w:tcW w:w="2025"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本年废止件数</w:t>
            </w:r>
          </w:p>
        </w:tc>
        <w:tc>
          <w:tcPr>
            <w:tcW w:w="2025"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规章</w:t>
            </w:r>
          </w:p>
        </w:tc>
        <w:tc>
          <w:tcPr>
            <w:tcW w:w="202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ascii="Calibri" w:hAnsi="Calibri" w:cs="Calibri"/>
                <w:sz w:val="21"/>
                <w:szCs w:val="21"/>
              </w:rPr>
              <w:t>0</w:t>
            </w:r>
          </w:p>
        </w:tc>
        <w:tc>
          <w:tcPr>
            <w:tcW w:w="202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202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行政规范性文件</w:t>
            </w:r>
          </w:p>
        </w:tc>
        <w:tc>
          <w:tcPr>
            <w:tcW w:w="202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rFonts w:hint="eastAsia" w:eastAsiaTheme="minorEastAsia"/>
                <w:sz w:val="21"/>
                <w:szCs w:val="21"/>
                <w:lang w:val="en-US" w:eastAsia="zh-CN"/>
              </w:rPr>
            </w:pPr>
            <w:r>
              <w:rPr>
                <w:rFonts w:hint="eastAsia"/>
                <w:sz w:val="21"/>
                <w:szCs w:val="21"/>
                <w:lang w:val="en-US" w:eastAsia="zh-CN"/>
              </w:rPr>
              <w:t>0</w:t>
            </w:r>
          </w:p>
        </w:tc>
        <w:tc>
          <w:tcPr>
            <w:tcW w:w="202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202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gridSpan w:val="4"/>
            <w:tcBorders>
              <w:top w:val="nil"/>
              <w:left w:val="single" w:color="auto" w:sz="6" w:space="0"/>
              <w:bottom w:val="single" w:color="auto" w:sz="6" w:space="0"/>
              <w:right w:val="single" w:color="auto" w:sz="6" w:space="0"/>
            </w:tcBorders>
            <w:shd w:val="clear" w:color="auto" w:fill="C6D9F1"/>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信息内容</w:t>
            </w:r>
          </w:p>
        </w:tc>
        <w:tc>
          <w:tcPr>
            <w:tcW w:w="2025" w:type="dxa"/>
            <w:gridSpan w:val="3"/>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行政许可</w:t>
            </w:r>
          </w:p>
        </w:tc>
        <w:tc>
          <w:tcPr>
            <w:tcW w:w="2025" w:type="dxa"/>
            <w:gridSpan w:val="3"/>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eastAsia="宋体" w:cs="Calibri"/>
                <w:sz w:val="21"/>
                <w:szCs w:val="21"/>
              </w:rPr>
              <w:t>4573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gridSpan w:val="4"/>
            <w:tcBorders>
              <w:top w:val="nil"/>
              <w:left w:val="single" w:color="auto" w:sz="6" w:space="0"/>
              <w:bottom w:val="single" w:color="auto" w:sz="6" w:space="0"/>
              <w:right w:val="single" w:color="auto" w:sz="6" w:space="0"/>
            </w:tcBorders>
            <w:shd w:val="clear" w:color="auto" w:fill="C6D9F1"/>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信息内容</w:t>
            </w:r>
          </w:p>
        </w:tc>
        <w:tc>
          <w:tcPr>
            <w:tcW w:w="2025" w:type="dxa"/>
            <w:gridSpan w:val="3"/>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行政处罚</w:t>
            </w:r>
          </w:p>
        </w:tc>
        <w:tc>
          <w:tcPr>
            <w:tcW w:w="2025" w:type="dxa"/>
            <w:gridSpan w:val="3"/>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eastAsia="宋体" w:cs="Calibri"/>
                <w:sz w:val="21"/>
                <w:szCs w:val="21"/>
              </w:rPr>
              <w:t>92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行政强制</w:t>
            </w:r>
          </w:p>
        </w:tc>
        <w:tc>
          <w:tcPr>
            <w:tcW w:w="2025" w:type="dxa"/>
            <w:gridSpan w:val="3"/>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gridSpan w:val="4"/>
            <w:tcBorders>
              <w:top w:val="nil"/>
              <w:left w:val="single" w:color="auto" w:sz="6" w:space="0"/>
              <w:bottom w:val="single" w:color="auto" w:sz="6" w:space="0"/>
              <w:right w:val="single" w:color="auto" w:sz="6" w:space="0"/>
            </w:tcBorders>
            <w:shd w:val="clear" w:color="auto" w:fill="C6D9F1"/>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信息内容</w:t>
            </w:r>
          </w:p>
        </w:tc>
        <w:tc>
          <w:tcPr>
            <w:tcW w:w="2025" w:type="dxa"/>
            <w:gridSpan w:val="3"/>
            <w:tcBorders>
              <w:top w:val="nil"/>
              <w:left w:val="nil"/>
              <w:bottom w:val="single" w:color="auto" w:sz="6" w:space="0"/>
              <w:right w:val="single" w:color="000000"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202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行政事业性收费</w:t>
            </w:r>
          </w:p>
        </w:tc>
        <w:tc>
          <w:tcPr>
            <w:tcW w:w="2025" w:type="dxa"/>
            <w:gridSpan w:val="3"/>
            <w:tcBorders>
              <w:top w:val="nil"/>
              <w:left w:val="nil"/>
              <w:bottom w:val="single" w:color="auto" w:sz="6" w:space="0"/>
              <w:right w:val="single" w:color="000000"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1"/>
          <w:szCs w:val="21"/>
        </w:rPr>
      </w:pPr>
      <w:r>
        <w:rPr>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sz w:val="21"/>
          <w:szCs w:val="21"/>
        </w:rPr>
      </w:pPr>
      <w:r>
        <w:rPr>
          <w:rFonts w:hint="eastAsia" w:ascii="微软雅黑" w:hAnsi="微软雅黑" w:eastAsia="微软雅黑" w:cs="微软雅黑"/>
          <w:color w:val="333333"/>
          <w:spacing w:val="0"/>
          <w:sz w:val="21"/>
          <w:szCs w:val="21"/>
          <w:shd w:val="clear" w:fill="FFFFFF"/>
        </w:rPr>
        <w:t>三、收到和处理政府信息公开申请情况</w:t>
      </w:r>
    </w:p>
    <w:tbl>
      <w:tblPr>
        <w:tblStyle w:val="6"/>
        <w:tblW w:w="9273"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1012"/>
        <w:gridCol w:w="1242"/>
        <w:gridCol w:w="897"/>
        <w:gridCol w:w="900"/>
        <w:gridCol w:w="1281"/>
        <w:gridCol w:w="429"/>
        <w:gridCol w:w="795"/>
        <w:gridCol w:w="884"/>
        <w:gridCol w:w="436"/>
        <w:gridCol w:w="1153"/>
        <w:gridCol w:w="24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244" w:type="dxa"/>
          <w:trHeight w:val="600" w:hRule="atLeast"/>
          <w:jc w:val="center"/>
        </w:trPr>
        <w:tc>
          <w:tcPr>
            <w:tcW w:w="3151" w:type="dxa"/>
            <w:gridSpan w:val="3"/>
            <w:vMerge w:val="restart"/>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（本列数据的勾稽关系为：第一项加第二项之和，等于第三项加第四项之和）</w:t>
            </w:r>
          </w:p>
        </w:tc>
        <w:tc>
          <w:tcPr>
            <w:tcW w:w="5878" w:type="dxa"/>
            <w:gridSpan w:val="7"/>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gridAfter w:val="1"/>
          <w:wAfter w:w="244" w:type="dxa"/>
          <w:trHeight w:val="600" w:hRule="atLeast"/>
          <w:jc w:val="center"/>
        </w:trPr>
        <w:tc>
          <w:tcPr>
            <w:tcW w:w="3151" w:type="dxa"/>
            <w:gridSpan w:val="3"/>
            <w:vMerge w:val="continue"/>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900" w:type="dxa"/>
            <w:vMerge w:val="restart"/>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sz w:val="21"/>
                <w:szCs w:val="21"/>
              </w:rPr>
            </w:pPr>
            <w:r>
              <w:rPr>
                <w:rFonts w:hint="eastAsia" w:ascii="宋体" w:hAnsi="宋体" w:eastAsia="宋体" w:cs="宋体"/>
                <w:sz w:val="21"/>
                <w:szCs w:val="21"/>
              </w:rPr>
              <w:t>自然人</w:t>
            </w:r>
          </w:p>
        </w:tc>
        <w:tc>
          <w:tcPr>
            <w:tcW w:w="3389" w:type="dxa"/>
            <w:gridSpan w:val="4"/>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法人或其他组织</w:t>
            </w:r>
          </w:p>
        </w:tc>
        <w:tc>
          <w:tcPr>
            <w:tcW w:w="1589" w:type="dxa"/>
            <w:gridSpan w:val="2"/>
            <w:tcBorders>
              <w:top w:val="single" w:color="auto" w:sz="6" w:space="0"/>
              <w:left w:val="nil"/>
              <w:bottom w:val="outset"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3151" w:type="dxa"/>
            <w:gridSpan w:val="3"/>
            <w:vMerge w:val="continue"/>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900"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81"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商业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企业</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科研</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机构</w:t>
            </w:r>
          </w:p>
        </w:tc>
        <w:tc>
          <w:tcPr>
            <w:tcW w:w="795"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社会公益组织</w:t>
            </w:r>
          </w:p>
        </w:tc>
        <w:tc>
          <w:tcPr>
            <w:tcW w:w="884"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法律服务机构</w:t>
            </w:r>
          </w:p>
        </w:tc>
        <w:tc>
          <w:tcPr>
            <w:tcW w:w="436"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其他</w:t>
            </w:r>
          </w:p>
        </w:tc>
        <w:tc>
          <w:tcPr>
            <w:tcW w:w="1397" w:type="dxa"/>
            <w:gridSpan w:val="2"/>
            <w:tcBorders>
              <w:top w:val="single" w:color="auto" w:sz="6" w:space="0"/>
              <w:left w:val="nil"/>
              <w:right w:val="single" w:color="auto" w:sz="6" w:space="0"/>
            </w:tcBorders>
            <w:shd w:val="clear" w:color="auto" w:fill="auto"/>
            <w:tcMar>
              <w:left w:w="75" w:type="dxa"/>
              <w:right w:w="75" w:type="dxa"/>
            </w:tcMar>
            <w:vAlign w:val="center"/>
          </w:tcPr>
          <w:p>
            <w:pPr>
              <w:rPr>
                <w:rFonts w:hint="eastAsia" w:ascii="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3151" w:type="dxa"/>
            <w:gridSpan w:val="3"/>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一、本年新收政府信息公开申请数量</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3151" w:type="dxa"/>
            <w:gridSpan w:val="3"/>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二、上年结转政府信息公开申请数量</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restart"/>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三、本年度办理结果</w:t>
            </w:r>
          </w:p>
        </w:tc>
        <w:tc>
          <w:tcPr>
            <w:tcW w:w="2139" w:type="dxa"/>
            <w:gridSpan w:val="2"/>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（一）予以公开</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single" w:color="auto" w:sz="6" w:space="0"/>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2139" w:type="dxa"/>
            <w:gridSpan w:val="2"/>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（二）部分公开（区分处理的，只计这一情形，不计其他情形）</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restart"/>
            <w:tcBorders>
              <w:top w:val="nil"/>
              <w:left w:val="nil"/>
              <w:bottom w:val="outset"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（三）不予公开</w:t>
            </w: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1.</w:t>
            </w:r>
            <w:r>
              <w:rPr>
                <w:rFonts w:hint="eastAsia" w:ascii="宋体" w:hAnsi="宋体" w:eastAsia="宋体" w:cs="宋体"/>
                <w:sz w:val="21"/>
                <w:szCs w:val="21"/>
              </w:rPr>
              <w:t>属于国家秘密</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single" w:color="auto" w:sz="6" w:space="0"/>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2.</w:t>
            </w:r>
            <w:r>
              <w:rPr>
                <w:rFonts w:hint="eastAsia" w:ascii="宋体" w:hAnsi="宋体" w:eastAsia="宋体" w:cs="宋体"/>
                <w:sz w:val="21"/>
                <w:szCs w:val="21"/>
              </w:rPr>
              <w:t>其他法律行政法规禁止公开</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3.</w:t>
            </w:r>
            <w:r>
              <w:rPr>
                <w:rFonts w:hint="eastAsia" w:ascii="宋体" w:hAnsi="宋体" w:eastAsia="宋体" w:cs="宋体"/>
                <w:sz w:val="21"/>
                <w:szCs w:val="21"/>
              </w:rPr>
              <w:t>危及</w:t>
            </w:r>
            <w:r>
              <w:rPr>
                <w:rFonts w:hint="default" w:ascii="Calibri" w:hAnsi="Calibri" w:cs="Calibri"/>
                <w:sz w:val="21"/>
                <w:szCs w:val="21"/>
              </w:rPr>
              <w:t>“</w:t>
            </w:r>
            <w:r>
              <w:rPr>
                <w:rFonts w:hint="eastAsia" w:ascii="宋体" w:hAnsi="宋体" w:eastAsia="宋体" w:cs="宋体"/>
                <w:sz w:val="21"/>
                <w:szCs w:val="21"/>
              </w:rPr>
              <w:t>三安全一稳定</w:t>
            </w:r>
            <w:r>
              <w:rPr>
                <w:rFonts w:hint="default" w:ascii="Calibri" w:hAnsi="Calibri" w:cs="Calibri"/>
                <w:sz w:val="21"/>
                <w:szCs w:val="21"/>
              </w:rPr>
              <w:t>”</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4.</w:t>
            </w:r>
            <w:r>
              <w:rPr>
                <w:rFonts w:hint="eastAsia" w:ascii="宋体" w:hAnsi="宋体" w:eastAsia="宋体" w:cs="宋体"/>
                <w:sz w:val="21"/>
                <w:szCs w:val="21"/>
              </w:rPr>
              <w:t>保护第三方合法权益</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5.</w:t>
            </w:r>
            <w:r>
              <w:rPr>
                <w:rFonts w:hint="eastAsia" w:ascii="宋体" w:hAnsi="宋体" w:eastAsia="宋体" w:cs="宋体"/>
                <w:sz w:val="21"/>
                <w:szCs w:val="21"/>
              </w:rPr>
              <w:t>属于三类内部事务信息</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0 </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6.</w:t>
            </w:r>
            <w:r>
              <w:rPr>
                <w:rFonts w:hint="eastAsia" w:ascii="宋体" w:hAnsi="宋体" w:eastAsia="宋体" w:cs="宋体"/>
                <w:sz w:val="21"/>
                <w:szCs w:val="21"/>
              </w:rPr>
              <w:t>属于四类过程性信息</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7.</w:t>
            </w:r>
            <w:r>
              <w:rPr>
                <w:rFonts w:hint="eastAsia" w:ascii="宋体" w:hAnsi="宋体" w:eastAsia="宋体" w:cs="宋体"/>
                <w:sz w:val="21"/>
                <w:szCs w:val="21"/>
              </w:rPr>
              <w:t>属于行政执法案卷</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8.</w:t>
            </w:r>
            <w:r>
              <w:rPr>
                <w:rFonts w:hint="eastAsia" w:ascii="宋体" w:hAnsi="宋体" w:eastAsia="宋体" w:cs="宋体"/>
                <w:sz w:val="21"/>
                <w:szCs w:val="21"/>
              </w:rPr>
              <w:t>属于行政查询事项</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restart"/>
            <w:tcBorders>
              <w:top w:val="nil"/>
              <w:left w:val="nil"/>
              <w:bottom w:val="outset"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（四）无法提供</w:t>
            </w: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1.</w:t>
            </w:r>
            <w:r>
              <w:rPr>
                <w:rFonts w:hint="eastAsia" w:ascii="宋体" w:hAnsi="宋体" w:eastAsia="宋体" w:cs="宋体"/>
                <w:sz w:val="21"/>
                <w:szCs w:val="21"/>
              </w:rPr>
              <w:t>本机关不掌握相关政府信息</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2.</w:t>
            </w:r>
            <w:r>
              <w:rPr>
                <w:rFonts w:hint="eastAsia" w:ascii="宋体" w:hAnsi="宋体" w:eastAsia="宋体" w:cs="宋体"/>
                <w:sz w:val="21"/>
                <w:szCs w:val="21"/>
              </w:rPr>
              <w:t>没有现成信息需要另行制作</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3.</w:t>
            </w:r>
            <w:r>
              <w:rPr>
                <w:rFonts w:hint="eastAsia" w:ascii="宋体" w:hAnsi="宋体" w:eastAsia="宋体" w:cs="宋体"/>
                <w:sz w:val="21"/>
                <w:szCs w:val="21"/>
              </w:rPr>
              <w:t>补正后申请内容仍不明确</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restart"/>
            <w:tcBorders>
              <w:top w:val="nil"/>
              <w:left w:val="nil"/>
              <w:bottom w:val="outset"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（五）不予处理</w:t>
            </w: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1.</w:t>
            </w:r>
            <w:r>
              <w:rPr>
                <w:rFonts w:hint="eastAsia" w:ascii="宋体" w:hAnsi="宋体" w:eastAsia="宋体" w:cs="宋体"/>
                <w:sz w:val="21"/>
                <w:szCs w:val="21"/>
              </w:rPr>
              <w:t>信访举报投诉类申请</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2.</w:t>
            </w:r>
            <w:r>
              <w:rPr>
                <w:rFonts w:hint="eastAsia" w:ascii="宋体" w:hAnsi="宋体" w:eastAsia="宋体" w:cs="宋体"/>
                <w:sz w:val="21"/>
                <w:szCs w:val="21"/>
              </w:rPr>
              <w:t>重复申请</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3.</w:t>
            </w:r>
            <w:r>
              <w:rPr>
                <w:rFonts w:hint="eastAsia" w:ascii="宋体" w:hAnsi="宋体" w:eastAsia="宋体" w:cs="宋体"/>
                <w:sz w:val="21"/>
                <w:szCs w:val="21"/>
              </w:rPr>
              <w:t>要求提供公开出版物</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4.</w:t>
            </w:r>
            <w:r>
              <w:rPr>
                <w:rFonts w:hint="eastAsia" w:ascii="宋体" w:hAnsi="宋体" w:eastAsia="宋体" w:cs="宋体"/>
                <w:sz w:val="21"/>
                <w:szCs w:val="21"/>
              </w:rPr>
              <w:t>无正当理由大量反复申请</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outset"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5.</w:t>
            </w:r>
            <w:r>
              <w:rPr>
                <w:rFonts w:hint="eastAsia" w:ascii="宋体" w:hAnsi="宋体" w:eastAsia="宋体" w:cs="宋体"/>
                <w:sz w:val="21"/>
                <w:szCs w:val="21"/>
              </w:rPr>
              <w:t>要求行政机关确认或重新出具已获取信息</w:t>
            </w:r>
          </w:p>
        </w:tc>
        <w:tc>
          <w:tcPr>
            <w:tcW w:w="900" w:type="dxa"/>
            <w:tcBorders>
              <w:top w:val="nil"/>
              <w:left w:val="nil"/>
              <w:bottom w:val="outset"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outset"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outset"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outset"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outset"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outset"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outset"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restart"/>
            <w:tcBorders>
              <w:top w:val="nil"/>
              <w:left w:val="nil"/>
              <w:bottom w:val="outset"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（六）其他处理</w:t>
            </w:r>
          </w:p>
        </w:tc>
        <w:tc>
          <w:tcPr>
            <w:tcW w:w="897"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1.</w:t>
            </w:r>
            <w:r>
              <w:rPr>
                <w:rFonts w:hint="eastAsia" w:ascii="宋体" w:hAnsi="宋体" w:eastAsia="宋体" w:cs="宋体"/>
                <w:sz w:val="21"/>
                <w:szCs w:val="21"/>
              </w:rPr>
              <w:t>申请人无正当理由逾期不补正、行政机关不再处理其政府信息公开申请</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2.</w:t>
            </w:r>
            <w:r>
              <w:rPr>
                <w:rFonts w:hint="eastAsia" w:ascii="宋体" w:hAnsi="宋体" w:eastAsia="宋体" w:cs="宋体"/>
                <w:sz w:val="21"/>
                <w:szCs w:val="21"/>
              </w:rPr>
              <w:t>申请人逾期未按收费通知要求缴纳费用、行政机关不再处理其政府信息公开申请</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1242" w:type="dxa"/>
            <w:vMerge w:val="continue"/>
            <w:tcBorders>
              <w:top w:val="nil"/>
              <w:left w:val="nil"/>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897"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3.</w:t>
            </w:r>
            <w:r>
              <w:rPr>
                <w:rFonts w:hint="eastAsia" w:ascii="宋体" w:hAnsi="宋体" w:eastAsia="宋体" w:cs="宋体"/>
                <w:sz w:val="21"/>
                <w:szCs w:val="21"/>
              </w:rPr>
              <w:t>其他</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center"/>
              <w:rPr>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1012" w:type="dxa"/>
            <w:vMerge w:val="continue"/>
            <w:tcBorders>
              <w:top w:val="nil"/>
              <w:left w:val="single" w:color="auto" w:sz="6" w:space="0"/>
              <w:bottom w:val="outset"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2139" w:type="dxa"/>
            <w:gridSpan w:val="2"/>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（七）总计</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3151" w:type="dxa"/>
            <w:gridSpan w:val="3"/>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宋体" w:hAnsi="宋体" w:eastAsia="宋体" w:cs="宋体"/>
                <w:sz w:val="21"/>
                <w:szCs w:val="21"/>
              </w:rPr>
              <w:t>四、结转下年度继续办理</w:t>
            </w:r>
          </w:p>
        </w:tc>
        <w:tc>
          <w:tcPr>
            <w:tcW w:w="90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281"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29"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9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84"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36"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1397" w:type="dxa"/>
            <w:gridSpan w:val="2"/>
            <w:tcBorders>
              <w:top w:val="nil"/>
              <w:left w:val="nil"/>
              <w:bottom w:val="single" w:color="auto" w:sz="6" w:space="0"/>
              <w:right w:val="single" w:color="auto" w:sz="6" w:space="0"/>
            </w:tcBorders>
            <w:shd w:val="clear" w:color="auto" w:fill="auto"/>
            <w:tcMar>
              <w:left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sz w:val="21"/>
          <w:szCs w:val="21"/>
        </w:rPr>
      </w:pPr>
      <w:r>
        <w:rPr>
          <w:rFonts w:hint="eastAsia" w:ascii="微软雅黑" w:hAnsi="微软雅黑" w:eastAsia="微软雅黑" w:cs="微软雅黑"/>
          <w:color w:val="333333"/>
          <w:spacing w:val="0"/>
          <w:sz w:val="21"/>
          <w:szCs w:val="21"/>
          <w:shd w:val="clear" w:fill="FFFFFF"/>
        </w:rPr>
        <w:t>四、政府信息公开行政复议、行政诉讼情况</w:t>
      </w:r>
    </w:p>
    <w:tbl>
      <w:tblPr>
        <w:tblStyle w:val="6"/>
        <w:tblW w:w="1002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695"/>
        <w:gridCol w:w="690"/>
        <w:gridCol w:w="602"/>
        <w:gridCol w:w="705"/>
        <w:gridCol w:w="735"/>
        <w:gridCol w:w="673"/>
        <w:gridCol w:w="645"/>
        <w:gridCol w:w="600"/>
        <w:gridCol w:w="450"/>
        <w:gridCol w:w="645"/>
        <w:gridCol w:w="675"/>
        <w:gridCol w:w="480"/>
        <w:gridCol w:w="705"/>
        <w:gridCol w:w="810"/>
        <w:gridCol w:w="91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00" w:hRule="atLeast"/>
          <w:jc w:val="center"/>
        </w:trPr>
        <w:tc>
          <w:tcPr>
            <w:tcW w:w="3427" w:type="dxa"/>
            <w:gridSpan w:val="5"/>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微软雅黑" w:hAnsi="微软雅黑" w:eastAsia="微软雅黑" w:cs="微软雅黑"/>
                <w:color w:val="333333"/>
                <w:spacing w:val="0"/>
                <w:sz w:val="21"/>
                <w:szCs w:val="21"/>
                <w:shd w:val="clear" w:fill="FFFFFF"/>
              </w:rPr>
              <w:t>行政复议</w:t>
            </w:r>
          </w:p>
        </w:tc>
        <w:tc>
          <w:tcPr>
            <w:tcW w:w="6602" w:type="dxa"/>
            <w:gridSpan w:val="10"/>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微软雅黑" w:hAnsi="微软雅黑" w:eastAsia="微软雅黑" w:cs="微软雅黑"/>
                <w:color w:val="333333"/>
                <w:spacing w:val="0"/>
                <w:sz w:val="21"/>
                <w:szCs w:val="21"/>
                <w:shd w:val="clear" w:fill="FFFFFF"/>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695" w:type="dxa"/>
            <w:vMerge w:val="restart"/>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right="0"/>
              <w:jc w:val="both"/>
              <w:rPr>
                <w:sz w:val="21"/>
                <w:szCs w:val="21"/>
              </w:rPr>
            </w:pPr>
            <w:r>
              <w:rPr>
                <w:rFonts w:hint="eastAsia" w:ascii="宋体" w:hAnsi="宋体" w:eastAsia="宋体" w:cs="宋体"/>
                <w:sz w:val="21"/>
                <w:szCs w:val="21"/>
                <w:lang w:eastAsia="zh-CN"/>
              </w:rPr>
              <w:t>结</w:t>
            </w:r>
            <w:r>
              <w:rPr>
                <w:rFonts w:hint="eastAsia" w:ascii="宋体" w:hAnsi="宋体" w:eastAsia="宋体" w:cs="宋体"/>
                <w:sz w:val="21"/>
                <w:szCs w:val="21"/>
              </w:rPr>
              <w:t>果维持</w:t>
            </w:r>
          </w:p>
        </w:tc>
        <w:tc>
          <w:tcPr>
            <w:tcW w:w="690" w:type="dxa"/>
            <w:vMerge w:val="restart"/>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right="0"/>
              <w:jc w:val="both"/>
              <w:rPr>
                <w:sz w:val="21"/>
                <w:szCs w:val="21"/>
              </w:rPr>
            </w:pPr>
            <w:r>
              <w:rPr>
                <w:rFonts w:hint="eastAsia" w:ascii="宋体" w:hAnsi="宋体" w:eastAsia="宋体" w:cs="宋体"/>
                <w:sz w:val="21"/>
                <w:szCs w:val="21"/>
                <w:lang w:eastAsia="zh-CN"/>
              </w:rPr>
              <w:t>结果</w:t>
            </w:r>
            <w:r>
              <w:rPr>
                <w:rFonts w:hint="default" w:ascii="Calibri" w:hAnsi="Calibri" w:cs="Calibri"/>
                <w:sz w:val="21"/>
                <w:szCs w:val="21"/>
              </w:rPr>
              <w:br w:type="textWrapping"/>
            </w:r>
            <w:r>
              <w:rPr>
                <w:rFonts w:hint="eastAsia" w:ascii="宋体" w:hAnsi="宋体" w:eastAsia="宋体" w:cs="宋体"/>
                <w:sz w:val="21"/>
                <w:szCs w:val="21"/>
              </w:rPr>
              <w:t>纠正</w:t>
            </w:r>
          </w:p>
        </w:tc>
        <w:tc>
          <w:tcPr>
            <w:tcW w:w="602" w:type="dxa"/>
            <w:vMerge w:val="restart"/>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both"/>
              <w:rPr>
                <w:sz w:val="21"/>
                <w:szCs w:val="21"/>
              </w:rPr>
            </w:pPr>
            <w:r>
              <w:rPr>
                <w:rFonts w:hint="eastAsia" w:ascii="宋体" w:hAnsi="宋体" w:eastAsia="宋体" w:cs="宋体"/>
                <w:sz w:val="21"/>
                <w:szCs w:val="21"/>
              </w:rPr>
              <w:t>其他</w:t>
            </w:r>
            <w:r>
              <w:rPr>
                <w:rFonts w:hint="default" w:ascii="Calibri" w:hAnsi="Calibri" w:cs="Calibri"/>
                <w:sz w:val="21"/>
                <w:szCs w:val="21"/>
              </w:rPr>
              <w:br w:type="textWrapping"/>
            </w:r>
            <w:r>
              <w:rPr>
                <w:rFonts w:hint="eastAsia" w:ascii="宋体" w:hAnsi="宋体" w:eastAsia="宋体" w:cs="宋体"/>
                <w:sz w:val="21"/>
                <w:szCs w:val="21"/>
              </w:rPr>
              <w:t>结果</w:t>
            </w:r>
          </w:p>
        </w:tc>
        <w:tc>
          <w:tcPr>
            <w:tcW w:w="705" w:type="dxa"/>
            <w:vMerge w:val="restart"/>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both"/>
              <w:rPr>
                <w:sz w:val="21"/>
                <w:szCs w:val="21"/>
              </w:rPr>
            </w:pPr>
            <w:r>
              <w:rPr>
                <w:rFonts w:hint="eastAsia" w:ascii="宋体" w:hAnsi="宋体" w:eastAsia="宋体" w:cs="宋体"/>
                <w:sz w:val="21"/>
                <w:szCs w:val="21"/>
                <w:lang w:eastAsia="zh-CN"/>
              </w:rPr>
              <w:t>尚</w:t>
            </w:r>
            <w:r>
              <w:rPr>
                <w:rFonts w:hint="eastAsia" w:ascii="宋体" w:hAnsi="宋体" w:eastAsia="宋体" w:cs="宋体"/>
                <w:sz w:val="21"/>
                <w:szCs w:val="21"/>
              </w:rPr>
              <w:t>未</w:t>
            </w:r>
            <w:r>
              <w:rPr>
                <w:rFonts w:hint="default" w:ascii="Calibri" w:hAnsi="Calibri" w:cs="Calibri"/>
                <w:sz w:val="21"/>
                <w:szCs w:val="21"/>
              </w:rPr>
              <w:br w:type="textWrapping"/>
            </w:r>
            <w:r>
              <w:rPr>
                <w:rFonts w:hint="eastAsia" w:ascii="宋体" w:hAnsi="宋体" w:eastAsia="宋体" w:cs="宋体"/>
                <w:sz w:val="21"/>
                <w:szCs w:val="21"/>
              </w:rPr>
              <w:t>审结</w:t>
            </w:r>
          </w:p>
        </w:tc>
        <w:tc>
          <w:tcPr>
            <w:tcW w:w="735" w:type="dxa"/>
            <w:vMerge w:val="restart"/>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both"/>
              <w:rPr>
                <w:sz w:val="21"/>
                <w:szCs w:val="21"/>
              </w:rPr>
            </w:pPr>
            <w:r>
              <w:rPr>
                <w:rFonts w:hint="eastAsia" w:ascii="宋体" w:hAnsi="宋体" w:eastAsia="宋体" w:cs="宋体"/>
                <w:sz w:val="21"/>
                <w:szCs w:val="21"/>
              </w:rPr>
              <w:t>总计</w:t>
            </w:r>
          </w:p>
        </w:tc>
        <w:tc>
          <w:tcPr>
            <w:tcW w:w="2368" w:type="dxa"/>
            <w:gridSpan w:val="4"/>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微软雅黑" w:hAnsi="微软雅黑" w:eastAsia="微软雅黑" w:cs="微软雅黑"/>
                <w:color w:val="333333"/>
                <w:spacing w:val="0"/>
                <w:sz w:val="21"/>
                <w:szCs w:val="21"/>
                <w:shd w:val="clear" w:fill="FFFFFF"/>
              </w:rPr>
              <w:t>未经复议直接起诉</w:t>
            </w:r>
          </w:p>
        </w:tc>
        <w:tc>
          <w:tcPr>
            <w:tcW w:w="4234" w:type="dxa"/>
            <w:gridSpan w:val="6"/>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eastAsia" w:ascii="微软雅黑" w:hAnsi="微软雅黑" w:eastAsia="微软雅黑" w:cs="微软雅黑"/>
                <w:color w:val="333333"/>
                <w:spacing w:val="0"/>
                <w:sz w:val="21"/>
                <w:szCs w:val="21"/>
                <w:shd w:val="clear" w:fill="FFFFFF"/>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695" w:type="dxa"/>
            <w:vMerge w:val="continue"/>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690" w:type="dxa"/>
            <w:vMerge w:val="continue"/>
            <w:tcBorders>
              <w:top w:val="nil"/>
              <w:left w:val="nil"/>
              <w:bottom w:val="single"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602" w:type="dxa"/>
            <w:vMerge w:val="continue"/>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705" w:type="dxa"/>
            <w:vMerge w:val="continue"/>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735" w:type="dxa"/>
            <w:vMerge w:val="continue"/>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rPr>
                <w:rFonts w:hint="eastAsia" w:ascii="宋体"/>
                <w:sz w:val="21"/>
                <w:szCs w:val="21"/>
              </w:rPr>
            </w:pPr>
          </w:p>
        </w:tc>
        <w:tc>
          <w:tcPr>
            <w:tcW w:w="673"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right="0"/>
              <w:jc w:val="both"/>
              <w:rPr>
                <w:sz w:val="18"/>
                <w:szCs w:val="18"/>
              </w:rPr>
            </w:pPr>
            <w:r>
              <w:rPr>
                <w:rFonts w:hint="eastAsia" w:ascii="宋体" w:hAnsi="宋体" w:eastAsia="宋体" w:cs="宋体"/>
                <w:sz w:val="18"/>
                <w:szCs w:val="18"/>
              </w:rPr>
              <w:t>结果</w:t>
            </w:r>
            <w:r>
              <w:rPr>
                <w:rFonts w:hint="default" w:ascii="Calibri" w:hAnsi="Calibri" w:cs="Calibri"/>
                <w:sz w:val="18"/>
                <w:szCs w:val="18"/>
              </w:rPr>
              <w:br w:type="textWrapping"/>
            </w:r>
            <w:r>
              <w:rPr>
                <w:rFonts w:hint="eastAsia" w:ascii="宋体" w:hAnsi="宋体" w:eastAsia="宋体" w:cs="宋体"/>
                <w:sz w:val="18"/>
                <w:szCs w:val="18"/>
              </w:rPr>
              <w:t>维持</w:t>
            </w:r>
          </w:p>
        </w:tc>
        <w:tc>
          <w:tcPr>
            <w:tcW w:w="64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both"/>
              <w:rPr>
                <w:sz w:val="18"/>
                <w:szCs w:val="18"/>
              </w:rPr>
            </w:pPr>
            <w:r>
              <w:rPr>
                <w:rFonts w:hint="eastAsia" w:ascii="宋体" w:hAnsi="宋体" w:eastAsia="宋体" w:cs="宋体"/>
                <w:sz w:val="18"/>
                <w:szCs w:val="18"/>
              </w:rPr>
              <w:t>结果纠正</w:t>
            </w:r>
          </w:p>
        </w:tc>
        <w:tc>
          <w:tcPr>
            <w:tcW w:w="600"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right="0"/>
              <w:jc w:val="both"/>
              <w:rPr>
                <w:sz w:val="18"/>
                <w:szCs w:val="18"/>
              </w:rPr>
            </w:pPr>
            <w:r>
              <w:rPr>
                <w:rFonts w:hint="eastAsia" w:ascii="宋体" w:hAnsi="宋体" w:eastAsia="宋体" w:cs="宋体"/>
                <w:sz w:val="18"/>
                <w:szCs w:val="18"/>
                <w:lang w:eastAsia="zh-CN"/>
              </w:rPr>
              <w:t>其</w:t>
            </w:r>
            <w:r>
              <w:rPr>
                <w:rFonts w:hint="eastAsia" w:ascii="宋体" w:hAnsi="宋体" w:eastAsia="宋体" w:cs="宋体"/>
                <w:sz w:val="18"/>
                <w:szCs w:val="18"/>
              </w:rPr>
              <w:t>他</w:t>
            </w:r>
            <w:r>
              <w:rPr>
                <w:rFonts w:hint="default" w:ascii="Calibri" w:hAnsi="Calibri" w:cs="Calibri"/>
                <w:sz w:val="18"/>
                <w:szCs w:val="18"/>
              </w:rPr>
              <w:br w:type="textWrapping"/>
            </w:r>
            <w:r>
              <w:rPr>
                <w:rFonts w:hint="eastAsia" w:ascii="宋体" w:hAnsi="宋体" w:eastAsia="宋体" w:cs="宋体"/>
                <w:sz w:val="18"/>
                <w:szCs w:val="18"/>
              </w:rPr>
              <w:t>结果</w:t>
            </w:r>
          </w:p>
        </w:tc>
        <w:tc>
          <w:tcPr>
            <w:tcW w:w="450"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right"/>
              <w:rPr>
                <w:sz w:val="18"/>
                <w:szCs w:val="18"/>
              </w:rPr>
            </w:pPr>
            <w:r>
              <w:rPr>
                <w:rFonts w:hint="eastAsia" w:ascii="宋体" w:hAnsi="宋体" w:eastAsia="宋体" w:cs="宋体"/>
                <w:sz w:val="18"/>
                <w:szCs w:val="18"/>
              </w:rPr>
              <w:t>尚未</w:t>
            </w:r>
            <w:r>
              <w:rPr>
                <w:rFonts w:hint="default" w:ascii="Calibri" w:hAnsi="Calibri" w:cs="Calibri"/>
                <w:sz w:val="18"/>
                <w:szCs w:val="18"/>
              </w:rPr>
              <w:br w:type="textWrapping"/>
            </w:r>
            <w:r>
              <w:rPr>
                <w:rFonts w:hint="eastAsia" w:ascii="宋体" w:hAnsi="宋体" w:eastAsia="宋体" w:cs="宋体"/>
                <w:sz w:val="18"/>
                <w:szCs w:val="18"/>
              </w:rPr>
              <w:t>审结</w:t>
            </w:r>
          </w:p>
        </w:tc>
        <w:tc>
          <w:tcPr>
            <w:tcW w:w="645"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right"/>
              <w:rPr>
                <w:sz w:val="18"/>
                <w:szCs w:val="18"/>
              </w:rPr>
            </w:pPr>
            <w:r>
              <w:rPr>
                <w:rFonts w:hint="eastAsia" w:ascii="宋体" w:hAnsi="宋体" w:eastAsia="宋体" w:cs="宋体"/>
                <w:sz w:val="18"/>
                <w:szCs w:val="18"/>
              </w:rPr>
              <w:t>总计</w:t>
            </w:r>
          </w:p>
        </w:tc>
        <w:tc>
          <w:tcPr>
            <w:tcW w:w="675"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left="0" w:right="0" w:firstLine="420"/>
              <w:jc w:val="left"/>
              <w:rPr>
                <w:sz w:val="18"/>
                <w:szCs w:val="18"/>
              </w:rPr>
            </w:pPr>
            <w:r>
              <w:rPr>
                <w:rFonts w:hint="eastAsia" w:ascii="宋体" w:hAnsi="宋体" w:eastAsia="宋体" w:cs="宋体"/>
                <w:sz w:val="18"/>
                <w:szCs w:val="18"/>
              </w:rPr>
              <w:t>结果</w:t>
            </w:r>
            <w:r>
              <w:rPr>
                <w:rFonts w:hint="default" w:ascii="Calibri" w:hAnsi="Calibri" w:cs="Calibri"/>
                <w:sz w:val="18"/>
                <w:szCs w:val="18"/>
              </w:rPr>
              <w:br w:type="textWrapping"/>
            </w:r>
            <w:r>
              <w:rPr>
                <w:rFonts w:hint="eastAsia" w:ascii="宋体" w:hAnsi="宋体" w:eastAsia="宋体" w:cs="宋体"/>
                <w:sz w:val="18"/>
                <w:szCs w:val="18"/>
              </w:rPr>
              <w:t>维持</w:t>
            </w:r>
          </w:p>
        </w:tc>
        <w:tc>
          <w:tcPr>
            <w:tcW w:w="480"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leftChars="0" w:right="0" w:rightChars="0"/>
              <w:jc w:val="both"/>
              <w:rPr>
                <w:sz w:val="18"/>
                <w:szCs w:val="18"/>
              </w:rPr>
            </w:pPr>
            <w:r>
              <w:rPr>
                <w:rFonts w:hint="eastAsia" w:ascii="宋体" w:hAnsi="宋体" w:eastAsia="宋体" w:cs="宋体"/>
                <w:sz w:val="18"/>
                <w:szCs w:val="18"/>
              </w:rPr>
              <w:t>结果</w:t>
            </w:r>
            <w:r>
              <w:rPr>
                <w:rFonts w:hint="default" w:ascii="Calibri" w:hAnsi="Calibri" w:cs="Calibri"/>
                <w:sz w:val="18"/>
                <w:szCs w:val="18"/>
              </w:rPr>
              <w:br w:type="textWrapping"/>
            </w:r>
            <w:r>
              <w:rPr>
                <w:rFonts w:hint="eastAsia" w:ascii="宋体" w:hAnsi="宋体" w:eastAsia="宋体" w:cs="宋体"/>
                <w:sz w:val="18"/>
                <w:szCs w:val="18"/>
              </w:rPr>
              <w:t>纠正</w:t>
            </w:r>
          </w:p>
        </w:tc>
        <w:tc>
          <w:tcPr>
            <w:tcW w:w="705"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right"/>
              <w:rPr>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其</w:t>
            </w:r>
            <w:r>
              <w:rPr>
                <w:rFonts w:hint="eastAsia" w:ascii="宋体" w:hAnsi="宋体" w:eastAsia="宋体" w:cs="宋体"/>
                <w:sz w:val="18"/>
                <w:szCs w:val="18"/>
              </w:rPr>
              <w:t>他</w:t>
            </w:r>
            <w:r>
              <w:rPr>
                <w:rFonts w:hint="default" w:ascii="Calibri" w:hAnsi="Calibri" w:cs="Calibri"/>
                <w:sz w:val="18"/>
                <w:szCs w:val="18"/>
              </w:rPr>
              <w:br w:type="textWrapping"/>
            </w:r>
            <w:r>
              <w:rPr>
                <w:rFonts w:hint="eastAsia" w:ascii="宋体" w:hAnsi="宋体" w:eastAsia="宋体" w:cs="宋体"/>
                <w:sz w:val="18"/>
                <w:szCs w:val="18"/>
              </w:rPr>
              <w:t>结果</w:t>
            </w:r>
          </w:p>
        </w:tc>
        <w:tc>
          <w:tcPr>
            <w:tcW w:w="810"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both"/>
              <w:rPr>
                <w:sz w:val="18"/>
                <w:szCs w:val="18"/>
              </w:rPr>
            </w:pPr>
            <w:r>
              <w:rPr>
                <w:rFonts w:hint="eastAsia" w:ascii="宋体" w:hAnsi="宋体" w:eastAsia="宋体" w:cs="宋体"/>
                <w:sz w:val="18"/>
                <w:szCs w:val="18"/>
                <w:lang w:eastAsia="zh-CN"/>
              </w:rPr>
              <w:t>尚</w:t>
            </w:r>
            <w:r>
              <w:rPr>
                <w:rFonts w:hint="eastAsia" w:ascii="宋体" w:hAnsi="宋体" w:eastAsia="宋体" w:cs="宋体"/>
                <w:sz w:val="18"/>
                <w:szCs w:val="18"/>
              </w:rPr>
              <w:t>未</w:t>
            </w:r>
            <w:r>
              <w:rPr>
                <w:rFonts w:hint="default" w:ascii="Calibri" w:hAnsi="Calibri" w:cs="Calibri"/>
                <w:sz w:val="18"/>
                <w:szCs w:val="18"/>
              </w:rPr>
              <w:br w:type="textWrapping"/>
            </w:r>
            <w:r>
              <w:rPr>
                <w:rFonts w:hint="eastAsia" w:ascii="宋体" w:hAnsi="宋体" w:eastAsia="宋体" w:cs="宋体"/>
                <w:sz w:val="18"/>
                <w:szCs w:val="18"/>
              </w:rPr>
              <w:t>审结</w:t>
            </w:r>
          </w:p>
        </w:tc>
        <w:tc>
          <w:tcPr>
            <w:tcW w:w="919"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right"/>
              <w:rPr>
                <w:sz w:val="18"/>
                <w:szCs w:val="18"/>
              </w:rPr>
            </w:pPr>
            <w:r>
              <w:rPr>
                <w:rFonts w:hint="eastAsia" w:ascii="宋体" w:hAnsi="宋体" w:eastAsia="宋体" w:cs="宋体"/>
                <w:sz w:val="18"/>
                <w:szCs w:val="18"/>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695"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69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602"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0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3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673"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eastAsia="宋体" w:cs="Calibri"/>
                <w:sz w:val="21"/>
                <w:szCs w:val="21"/>
              </w:rPr>
              <w:t>0</w:t>
            </w:r>
          </w:p>
        </w:tc>
        <w:tc>
          <w:tcPr>
            <w:tcW w:w="64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60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5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64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eastAsia="宋体" w:cs="Calibri"/>
                <w:sz w:val="21"/>
                <w:szCs w:val="21"/>
              </w:rPr>
              <w:t>0</w:t>
            </w:r>
          </w:p>
        </w:tc>
        <w:tc>
          <w:tcPr>
            <w:tcW w:w="67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48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705"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810"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c>
          <w:tcPr>
            <w:tcW w:w="919"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sz w:val="21"/>
                <w:szCs w:val="21"/>
              </w:rPr>
            </w:pPr>
            <w:r>
              <w:rPr>
                <w:rFonts w:hint="default" w:ascii="Calibri" w:hAnsi="Calibri" w:cs="Calibri"/>
                <w:sz w:val="21"/>
                <w:szCs w:val="21"/>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2023年，盘州市卫生健康局政府信息公开总体良好，但仍存在一些问题和不足。主要表现在工作动态原创信息数量较少，信息公开形式、内容较单一、信息的公开时效性有差距、政务信息公开机制需进一步完善。针对这些问题，下一步要着重做好以下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（一）拓宽政务公开的领域，增加栏目，公开与群众利益相关的，需要社会监督的内容。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 (二)突出公开重点，持续抓健康盘州和疾病防控等相关信息公开工作，提高对中央、省、六盘水市和盘州市医疗卫生高质量发展机制等政策措施的解读工作，涉及患者及家属切身利益、公共事务等情况的公开力度，提高公开透明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(三) 完善公开方式，全力推进网上公开，在信息公开的数量和质量上下功夫，不断拓宽公开渠道，提升信息公开发布质量和水平。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w:t>
      </w:r>
      <w:r>
        <w:rPr>
          <w:rFonts w:hint="eastAsia" w:ascii="微软雅黑" w:hAnsi="微软雅黑" w:eastAsia="微软雅黑" w:cs="微软雅黑"/>
          <w:color w:val="333333"/>
          <w:spacing w:val="0"/>
          <w:sz w:val="24"/>
          <w:szCs w:val="24"/>
          <w:shd w:val="clear" w:fill="FFFFFF"/>
          <w:lang w:val="en-US" w:eastAsia="zh-CN"/>
        </w:rPr>
        <w:t>四</w:t>
      </w:r>
      <w:r>
        <w:rPr>
          <w:rFonts w:hint="eastAsia" w:ascii="微软雅黑" w:hAnsi="微软雅黑" w:eastAsia="微软雅黑" w:cs="微软雅黑"/>
          <w:color w:val="333333"/>
          <w:spacing w:val="0"/>
          <w:sz w:val="24"/>
          <w:szCs w:val="24"/>
          <w:shd w:val="clear" w:fill="FFFFFF"/>
        </w:rPr>
        <w:t>)强化政策解读。强化学习，深入调查研究，广泛宣传和解读“健康中国”“健康贵州”“健康凉都”政策力度，尤其要做好医疗卫生事业高质量发展、疾病防控等重大政策解读、宣传，不断提高群众健康意识。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color w:val="333333"/>
          <w:spacing w:val="0"/>
          <w:sz w:val="24"/>
          <w:szCs w:val="24"/>
          <w:shd w:val="clear" w:fill="FFFFFF"/>
        </w:rPr>
        <w:t>本年度没有其他需要报告的事项。</w:t>
      </w:r>
    </w:p>
    <w:p>
      <w:pPr>
        <w:pStyle w:val="5"/>
        <w:keepNext w:val="0"/>
        <w:keepLines w:val="0"/>
        <w:widowControl/>
        <w:suppressLineNumbers w:val="0"/>
        <w:spacing w:line="315" w:lineRule="atLeas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801"/>
      <w:rPr>
        <w:rFonts w:ascii="宋体" w:hAnsi="宋体" w:eastAsia="宋体" w:cs="宋体"/>
        <w:sz w:val="28"/>
        <w:szCs w:val="28"/>
      </w:rPr>
    </w:pPr>
    <w:r>
      <w:rPr>
        <w:rFonts w:ascii="宋体" w:hAnsi="宋体" w:eastAsia="宋体" w:cs="宋体"/>
        <w:spacing w:val="-8"/>
        <w:position w:val="-4"/>
        <w:sz w:val="28"/>
        <w:szCs w:val="28"/>
      </w:rPr>
      <w:t>—</w:t>
    </w:r>
    <w:r>
      <w:rPr>
        <w:rFonts w:ascii="宋体" w:hAnsi="宋体" w:eastAsia="宋体" w:cs="宋体"/>
        <w:spacing w:val="15"/>
        <w:position w:val="-4"/>
        <w:sz w:val="28"/>
        <w:szCs w:val="28"/>
      </w:rPr>
      <w:t xml:space="preserve"> </w:t>
    </w:r>
    <w:r>
      <w:rPr>
        <w:rFonts w:ascii="宋体" w:hAnsi="宋体" w:eastAsia="宋体" w:cs="宋体"/>
        <w:spacing w:val="-8"/>
        <w:position w:val="-4"/>
        <w:sz w:val="28"/>
        <w:szCs w:val="28"/>
      </w:rPr>
      <w:t>3</w:t>
    </w:r>
    <w:r>
      <w:rPr>
        <w:rFonts w:ascii="宋体" w:hAnsi="宋体" w:eastAsia="宋体" w:cs="宋体"/>
        <w:spacing w:val="9"/>
        <w:position w:val="-4"/>
        <w:sz w:val="28"/>
        <w:szCs w:val="28"/>
      </w:rPr>
      <w:t xml:space="preserve"> </w:t>
    </w:r>
    <w:r>
      <w:rPr>
        <w:rFonts w:ascii="宋体" w:hAnsi="宋体" w:eastAsia="宋体" w:cs="宋体"/>
        <w:spacing w:val="-8"/>
        <w:position w:val="-4"/>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Y2I4NWJiOGY4MzI2MTQ3NTAxNjYzNDk4ZjUzNjIifQ=="/>
  </w:docVars>
  <w:rsids>
    <w:rsidRoot w:val="4755172D"/>
    <w:rsid w:val="01250BA2"/>
    <w:rsid w:val="03315599"/>
    <w:rsid w:val="053C0B8D"/>
    <w:rsid w:val="08B24A05"/>
    <w:rsid w:val="098A5E26"/>
    <w:rsid w:val="0B9874FD"/>
    <w:rsid w:val="0BA37C99"/>
    <w:rsid w:val="0DBC0D78"/>
    <w:rsid w:val="0E323BD6"/>
    <w:rsid w:val="136B5817"/>
    <w:rsid w:val="16072D8C"/>
    <w:rsid w:val="165A74EF"/>
    <w:rsid w:val="1C0E117B"/>
    <w:rsid w:val="1EDB75A5"/>
    <w:rsid w:val="21F62C48"/>
    <w:rsid w:val="24AE221D"/>
    <w:rsid w:val="297E0FE3"/>
    <w:rsid w:val="2B507D4C"/>
    <w:rsid w:val="2B9025B8"/>
    <w:rsid w:val="2D7832F7"/>
    <w:rsid w:val="2E6575AB"/>
    <w:rsid w:val="2F9B467C"/>
    <w:rsid w:val="31536C78"/>
    <w:rsid w:val="33157477"/>
    <w:rsid w:val="350F034E"/>
    <w:rsid w:val="37C4468A"/>
    <w:rsid w:val="38474D30"/>
    <w:rsid w:val="3930052B"/>
    <w:rsid w:val="39362D94"/>
    <w:rsid w:val="39566004"/>
    <w:rsid w:val="3B5E0928"/>
    <w:rsid w:val="3FEE6A4A"/>
    <w:rsid w:val="4143097A"/>
    <w:rsid w:val="42C43A92"/>
    <w:rsid w:val="43577BBB"/>
    <w:rsid w:val="443773EC"/>
    <w:rsid w:val="461C13D0"/>
    <w:rsid w:val="469E16ED"/>
    <w:rsid w:val="4755172D"/>
    <w:rsid w:val="48946303"/>
    <w:rsid w:val="49CF63DA"/>
    <w:rsid w:val="4A301A0D"/>
    <w:rsid w:val="4A454C9E"/>
    <w:rsid w:val="4F736D24"/>
    <w:rsid w:val="50D6330E"/>
    <w:rsid w:val="514005A1"/>
    <w:rsid w:val="53606E33"/>
    <w:rsid w:val="538C4158"/>
    <w:rsid w:val="54D67C2D"/>
    <w:rsid w:val="576A319B"/>
    <w:rsid w:val="576C333D"/>
    <w:rsid w:val="59253ABA"/>
    <w:rsid w:val="59351823"/>
    <w:rsid w:val="5A1B2B15"/>
    <w:rsid w:val="5C8B5B86"/>
    <w:rsid w:val="5CCC1A69"/>
    <w:rsid w:val="5D767DCE"/>
    <w:rsid w:val="613D4CE3"/>
    <w:rsid w:val="61F563CA"/>
    <w:rsid w:val="621F05B8"/>
    <w:rsid w:val="63711B95"/>
    <w:rsid w:val="66E77F12"/>
    <w:rsid w:val="6B2F2889"/>
    <w:rsid w:val="6D757942"/>
    <w:rsid w:val="6FE210EB"/>
    <w:rsid w:val="724C5DE0"/>
    <w:rsid w:val="74BB1A37"/>
    <w:rsid w:val="76AB19E8"/>
    <w:rsid w:val="78900922"/>
    <w:rsid w:val="7C7C4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 w:type="paragraph" w:customStyle="1" w:styleId="11">
    <w:name w:val="正文-公1"/>
    <w:basedOn w:val="12"/>
    <w:next w:val="4"/>
    <w:autoRedefine/>
    <w:qFormat/>
    <w:uiPriority w:val="0"/>
    <w:pPr>
      <w:tabs>
        <w:tab w:val="center" w:pos="4153"/>
        <w:tab w:val="right" w:pos="8306"/>
      </w:tabs>
      <w:ind w:firstLine="200" w:firstLineChars="200"/>
    </w:pPr>
    <w:rPr>
      <w:rFonts w:hint="eastAsia" w:ascii="Times New Roman" w:hAnsi="Times New Roman" w:eastAsia="Times New Roman" w:cs="Times New Roman"/>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autoRedefine/>
    <w:qFormat/>
    <w:uiPriority w:val="0"/>
    <w:pPr>
      <w:widowControl w:val="0"/>
      <w:jc w:val="both"/>
    </w:pPr>
    <w:rPr>
      <w:rFonts w:ascii="Times New Roman" w:hAnsi="Times New Roman" w:eastAsia="宋体" w:cs="Times New Roman"/>
      <w:kern w:val="2"/>
      <w:sz w:val="21"/>
      <w:lang w:val="en-US" w:eastAsia="zh-CN"/>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正文1"/>
    <w:next w:val="11"/>
    <w:autoRedefine/>
    <w:qFormat/>
    <w:uiPriority w:val="0"/>
    <w:pPr>
      <w:jc w:val="both"/>
    </w:pPr>
    <w:rPr>
      <w:rFonts w:ascii="Calibri" w:hAnsi="Calibri" w:eastAsia="宋体" w:cs="黑体"/>
      <w:sz w:val="21"/>
      <w:szCs w:val="22"/>
      <w:lang w:val="en-US" w:eastAsia="zh-CN" w:bidi="ar-SA"/>
    </w:rPr>
  </w:style>
  <w:style w:type="paragraph" w:customStyle="1" w:styleId="15">
    <w:name w:val="正文 New New New"/>
    <w:next w:val="11"/>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532</Words>
  <Characters>534</Characters>
  <Lines>0</Lines>
  <Paragraphs>0</Paragraphs>
  <TotalTime>1</TotalTime>
  <ScaleCrop>false</ScaleCrop>
  <LinksUpToDate>false</LinksUpToDate>
  <CharactersWithSpaces>537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2022-06-30T06:52:00Z</dcterms:created>
  <dc:creator>健康盘州</dc:creator>
  <cp:lastModifiedBy>健康盘州</cp:lastModifiedBy>
  <dcterms:modified xsi:type="dcterms:W3CDTF">2024-01-29T03:18:03Z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230ACED476EF484C811962C8C0C19693_13</vt:lpwstr>
  </property>
</Properties>
</file>