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盘州市丹霞镇202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根据《中华人民共和国政府信息公开条例》（以下简称《条例》）和《贵州省政府信息公开暂行规定》（以下简称《暂行规定》）、《市政务公开领导小组办公室关于做好202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年度政府信息公开工作年度报告编制及发布工作的通知》的要求，现公布丹霞镇人民政府202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年政府信息公开工作年度报告。报告所列数据的统计时间为202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年12月31日，包括总体情况、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主动公开政府信息情况、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收到和处理政府信息公开申请情况、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工作被申请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行政复议和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提起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行政诉讼情况、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政府信息公开工作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存在的主要问题及改进情况、其他需要报告的事项等六个部分。 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(一)主动公开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年，我镇认真对照最新修订《条例》，严格按照盘州市相关文件要求，真正做到应公开全公开。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单位主要职责全公开，镇党委、政府主要职责，办公地点、办公时间、联系电话、传真号码、邮政编码等全公开；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领导之窗应公开尽公开。我镇共11名党政领导，11名党政领导信息中包括领导基本信息、领导分工等信息应公开尽公开；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机构设置全公开。我镇共15个站、所、股室，15个站、所、股室单位职责、负责人、联系电话、传真号码、办公时间、办公地址、通讯地址、邮政编码等信息全公开。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及时公开相关政策文件。202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年，我镇共公开政策文件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条，包括社会事务、农业综合服务、人资社保、卫生健康、教育、森林防火、疫情防控等及时公开；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及时更新工作动态，202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年我镇更新工作动态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条，让广大群众及时了解我镇工作开展情况；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六是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依法依规更新法定主动公开。法定主动公开模块下主要有机关简介、政策落实、权责清单、财政资金、乡镇建设栏目，202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年，该模块共公开信息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条；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七是</w:t>
      </w:r>
      <w:r>
        <w:rPr>
          <w:rFonts w:hint="eastAsia" w:ascii="仿宋_GB2312" w:hAnsi="仿宋_GB2312" w:eastAsia="仿宋_GB2312" w:cs="仿宋_GB2312"/>
          <w:sz w:val="32"/>
          <w:szCs w:val="32"/>
        </w:rPr>
        <w:t>按上级相关部门要求公开202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年度政府信息公开年度报告；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八是</w:t>
      </w:r>
      <w:r>
        <w:rPr>
          <w:rFonts w:hint="eastAsia" w:ascii="仿宋_GB2312" w:hAnsi="仿宋_GB2312" w:eastAsia="仿宋_GB2312" w:cs="仿宋_GB2312"/>
          <w:sz w:val="32"/>
          <w:szCs w:val="32"/>
        </w:rPr>
        <w:t>按规定公开丹霞镇人民政府信息公开指南；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九是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定期查看互动交流模块。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</w:t>
      </w:r>
      <w:r>
        <w:rPr>
          <w:rFonts w:hint="eastAsia" w:ascii="楷体_GB2312" w:hAnsi="楷体_GB2312" w:eastAsia="楷体_GB2312" w:cs="楷体_GB2312"/>
          <w:sz w:val="32"/>
          <w:szCs w:val="32"/>
        </w:rPr>
        <w:t>(二)依申请公开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组织干部职工认真学习新修订的《中华人民共和国政府信息公开条例》，并结合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实际，制定了《盘州市丹霞镇人民政府信息公开指南》，以提高政府信息依申请公开回复效率及答复质量，从源头规范我镇政府信息依申请公开的受理、办理、答复流程。202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年，我镇未收到政府信息公开申请。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</w:t>
      </w:r>
      <w:r>
        <w:rPr>
          <w:rFonts w:hint="eastAsia" w:ascii="楷体_GB2312" w:hAnsi="楷体_GB2312" w:eastAsia="楷体_GB2312" w:cs="楷体_GB2312"/>
          <w:sz w:val="32"/>
          <w:szCs w:val="32"/>
        </w:rPr>
        <w:t>(三)政府信息管理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组织领导，健全组织机构。镇政府高度重视政府信息公开工作，始终把政府信息公开工作作为全镇工作的重要组成部分，依据上级部门有关规定，成立了由镇政府主要领导任组长，分管领导任副组长的丹霞镇政府信息公开工作领导小组，负责推进、指导、协调、审核、监督全镇政府信息公开工作，领导小组办公室下设在镇党政办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强化学习，分工明确。严格按照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暂行规定》等规章制度对日常工作信息梳理公开，组织相关工作人员学习相关法律、法规、制度、文件，提高办事人员业务能力。明确专人具体负责政府信息公开相关工作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不断规范和完善信息公开程序、内容。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(四)平台建设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    做好微信公众号平台管理，确保政务微信公众号正常运行。我镇政务微信公众号“古韵丹霞”，202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年更新信息共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(五)监督保障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镇政府信息公开领导小组不定期抽查政务信息公开内容，更新前严格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按照“三审三校”要求做好信息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审查，督促镇相关站、所、股室按时提供政务信息以便及时更新网站内容。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7099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606"/>
        <w:gridCol w:w="1833"/>
        <w:gridCol w:w="199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6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信息内容</w:t>
            </w:r>
          </w:p>
        </w:tc>
        <w:tc>
          <w:tcPr>
            <w:tcW w:w="16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本年制发件数</w:t>
            </w:r>
          </w:p>
        </w:tc>
        <w:tc>
          <w:tcPr>
            <w:tcW w:w="18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本年废止件数</w:t>
            </w:r>
          </w:p>
        </w:tc>
        <w:tc>
          <w:tcPr>
            <w:tcW w:w="19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现行有效件数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6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</w:p>
        </w:tc>
        <w:tc>
          <w:tcPr>
            <w:tcW w:w="1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</w:p>
        </w:tc>
        <w:tc>
          <w:tcPr>
            <w:tcW w:w="18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规章</w:t>
            </w: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Cs w:val="21"/>
              </w:rPr>
              <w:t>行政</w:t>
            </w: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规范性文件</w:t>
            </w: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信息内容</w:t>
            </w:r>
          </w:p>
        </w:tc>
        <w:tc>
          <w:tcPr>
            <w:tcW w:w="543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行政许可</w:t>
            </w:r>
          </w:p>
        </w:tc>
        <w:tc>
          <w:tcPr>
            <w:tcW w:w="543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信息内容</w:t>
            </w:r>
          </w:p>
        </w:tc>
        <w:tc>
          <w:tcPr>
            <w:tcW w:w="543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行政处罚</w:t>
            </w:r>
          </w:p>
        </w:tc>
        <w:tc>
          <w:tcPr>
            <w:tcW w:w="543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行政强制</w:t>
            </w:r>
          </w:p>
        </w:tc>
        <w:tc>
          <w:tcPr>
            <w:tcW w:w="543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信息内容</w:t>
            </w:r>
          </w:p>
        </w:tc>
        <w:tc>
          <w:tcPr>
            <w:tcW w:w="543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Arial"/>
                <w:color w:val="333333"/>
                <w:kern w:val="0"/>
                <w:szCs w:val="21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Cs w:val="21"/>
              </w:rPr>
              <w:t>行政事业性收费</w:t>
            </w:r>
          </w:p>
        </w:tc>
        <w:tc>
          <w:tcPr>
            <w:tcW w:w="543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收到和处理政府信息公开申请情况</w:t>
      </w:r>
    </w:p>
    <w:tbl>
      <w:tblPr>
        <w:tblStyle w:val="3"/>
        <w:tblW w:w="703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9"/>
        <w:gridCol w:w="706"/>
        <w:gridCol w:w="1045"/>
        <w:gridCol w:w="367"/>
        <w:gridCol w:w="386"/>
        <w:gridCol w:w="406"/>
        <w:gridCol w:w="391"/>
        <w:gridCol w:w="406"/>
        <w:gridCol w:w="377"/>
        <w:gridCol w:w="39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04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273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04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6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自然人</w:t>
            </w:r>
          </w:p>
        </w:tc>
        <w:tc>
          <w:tcPr>
            <w:tcW w:w="197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法人或其他组织</w:t>
            </w:r>
          </w:p>
        </w:tc>
        <w:tc>
          <w:tcPr>
            <w:tcW w:w="3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04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商业</w:t>
            </w:r>
          </w:p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企业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科研</w:t>
            </w:r>
          </w:p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机构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社会公益组织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法律服务机构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三、本年度办理结果</w:t>
            </w:r>
          </w:p>
        </w:tc>
        <w:tc>
          <w:tcPr>
            <w:tcW w:w="17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（一）予以公开</w:t>
            </w:r>
          </w:p>
        </w:tc>
        <w:tc>
          <w:tcPr>
            <w:tcW w:w="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　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（三）不予公开</w:t>
            </w:r>
          </w:p>
        </w:tc>
        <w:tc>
          <w:tcPr>
            <w:tcW w:w="1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1．属于国家秘密</w:t>
            </w:r>
          </w:p>
        </w:tc>
        <w:tc>
          <w:tcPr>
            <w:tcW w:w="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2．其他法律行政法规禁止公开</w:t>
            </w:r>
          </w:p>
        </w:tc>
        <w:tc>
          <w:tcPr>
            <w:tcW w:w="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3．危及“三安全一稳定”</w:t>
            </w:r>
          </w:p>
        </w:tc>
        <w:tc>
          <w:tcPr>
            <w:tcW w:w="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4．保护第三方合法权益</w:t>
            </w:r>
          </w:p>
        </w:tc>
        <w:tc>
          <w:tcPr>
            <w:tcW w:w="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5．属于三类内部事务信息</w:t>
            </w:r>
          </w:p>
        </w:tc>
        <w:tc>
          <w:tcPr>
            <w:tcW w:w="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6．属于四类过程性信息</w:t>
            </w:r>
          </w:p>
        </w:tc>
        <w:tc>
          <w:tcPr>
            <w:tcW w:w="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7．属于行政执法案卷</w:t>
            </w:r>
          </w:p>
        </w:tc>
        <w:tc>
          <w:tcPr>
            <w:tcW w:w="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8．属于行政查询事项</w:t>
            </w:r>
          </w:p>
        </w:tc>
        <w:tc>
          <w:tcPr>
            <w:tcW w:w="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（四）无法提供</w:t>
            </w:r>
          </w:p>
        </w:tc>
        <w:tc>
          <w:tcPr>
            <w:tcW w:w="1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1．本机关不掌握相关政府信息</w:t>
            </w:r>
          </w:p>
        </w:tc>
        <w:tc>
          <w:tcPr>
            <w:tcW w:w="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2．没有现成信息需要另行制作</w:t>
            </w:r>
          </w:p>
        </w:tc>
        <w:tc>
          <w:tcPr>
            <w:tcW w:w="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3．补正后申请内容仍不明确</w:t>
            </w:r>
          </w:p>
        </w:tc>
        <w:tc>
          <w:tcPr>
            <w:tcW w:w="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（五）不予处理</w:t>
            </w:r>
          </w:p>
        </w:tc>
        <w:tc>
          <w:tcPr>
            <w:tcW w:w="1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1．信访举报投诉类申请</w:t>
            </w:r>
          </w:p>
        </w:tc>
        <w:tc>
          <w:tcPr>
            <w:tcW w:w="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2．重复申请</w:t>
            </w:r>
          </w:p>
        </w:tc>
        <w:tc>
          <w:tcPr>
            <w:tcW w:w="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3．要求提供公开出版物</w:t>
            </w:r>
          </w:p>
        </w:tc>
        <w:tc>
          <w:tcPr>
            <w:tcW w:w="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4．无正当理由大量反复申请</w:t>
            </w:r>
          </w:p>
        </w:tc>
        <w:tc>
          <w:tcPr>
            <w:tcW w:w="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5．要求行政机关确认或重新出具已获取信息</w:t>
            </w:r>
          </w:p>
        </w:tc>
        <w:tc>
          <w:tcPr>
            <w:tcW w:w="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（六）其他处理</w:t>
            </w:r>
          </w:p>
        </w:tc>
        <w:tc>
          <w:tcPr>
            <w:tcW w:w="1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1．申请人无正当理由逾期不补正、行政机关不再处理其政府信息公开申请</w:t>
            </w:r>
          </w:p>
        </w:tc>
        <w:tc>
          <w:tcPr>
            <w:tcW w:w="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2．申请人逾期未按收费通知要求缴纳费用、行政机关不再处理其政府信息公开申请</w:t>
            </w:r>
          </w:p>
        </w:tc>
        <w:tc>
          <w:tcPr>
            <w:tcW w:w="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3．其他</w:t>
            </w:r>
          </w:p>
        </w:tc>
        <w:tc>
          <w:tcPr>
            <w:tcW w:w="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（七）总计</w:t>
            </w:r>
          </w:p>
        </w:tc>
        <w:tc>
          <w:tcPr>
            <w:tcW w:w="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四、结转下年度继续办理</w:t>
            </w:r>
          </w:p>
        </w:tc>
        <w:tc>
          <w:tcPr>
            <w:tcW w:w="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政府信息公开行政复议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行政诉讼情况</w:t>
      </w:r>
    </w:p>
    <w:tbl>
      <w:tblPr>
        <w:tblStyle w:val="3"/>
        <w:tblW w:w="6963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593"/>
        <w:gridCol w:w="567"/>
        <w:gridCol w:w="545"/>
        <w:gridCol w:w="1300"/>
        <w:gridCol w:w="352"/>
        <w:gridCol w:w="335"/>
        <w:gridCol w:w="335"/>
        <w:gridCol w:w="361"/>
        <w:gridCol w:w="291"/>
        <w:gridCol w:w="357"/>
        <w:gridCol w:w="339"/>
        <w:gridCol w:w="370"/>
        <w:gridCol w:w="339"/>
        <w:gridCol w:w="30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8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行政复议</w:t>
            </w:r>
          </w:p>
        </w:tc>
        <w:tc>
          <w:tcPr>
            <w:tcW w:w="3379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结果维持</w:t>
            </w:r>
          </w:p>
        </w:tc>
        <w:tc>
          <w:tcPr>
            <w:tcW w:w="5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结果纠正</w:t>
            </w:r>
          </w:p>
        </w:tc>
        <w:tc>
          <w:tcPr>
            <w:tcW w:w="56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其他结果</w:t>
            </w:r>
          </w:p>
        </w:tc>
        <w:tc>
          <w:tcPr>
            <w:tcW w:w="5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尚未</w:t>
            </w:r>
          </w:p>
          <w:p>
            <w:pPr>
              <w:widowControl/>
              <w:spacing w:line="578" w:lineRule="exac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审结</w:t>
            </w:r>
          </w:p>
        </w:tc>
        <w:tc>
          <w:tcPr>
            <w:tcW w:w="13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总计</w:t>
            </w:r>
          </w:p>
        </w:tc>
        <w:tc>
          <w:tcPr>
            <w:tcW w:w="16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未经复议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    </w:t>
            </w:r>
            <w:r>
              <w:rPr>
                <w:rFonts w:ascii="仿宋" w:hAnsi="仿宋" w:eastAsia="仿宋" w:cs="宋体"/>
                <w:kern w:val="0"/>
                <w:szCs w:val="21"/>
              </w:rPr>
              <w:t>直接起诉</w:t>
            </w:r>
          </w:p>
        </w:tc>
        <w:tc>
          <w:tcPr>
            <w:tcW w:w="170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78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结果</w:t>
            </w:r>
          </w:p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维持</w:t>
            </w:r>
          </w:p>
        </w:tc>
        <w:tc>
          <w:tcPr>
            <w:tcW w:w="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结果纠正</w:t>
            </w:r>
          </w:p>
        </w:tc>
        <w:tc>
          <w:tcPr>
            <w:tcW w:w="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其他结果</w:t>
            </w:r>
          </w:p>
        </w:tc>
        <w:tc>
          <w:tcPr>
            <w:tcW w:w="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尚未</w:t>
            </w:r>
          </w:p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审结</w:t>
            </w:r>
          </w:p>
        </w:tc>
        <w:tc>
          <w:tcPr>
            <w:tcW w:w="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总计</w:t>
            </w:r>
          </w:p>
        </w:tc>
        <w:tc>
          <w:tcPr>
            <w:tcW w:w="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结果</w:t>
            </w:r>
          </w:p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维持</w:t>
            </w:r>
          </w:p>
        </w:tc>
        <w:tc>
          <w:tcPr>
            <w:tcW w:w="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结果纠正</w:t>
            </w:r>
          </w:p>
        </w:tc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其他</w:t>
            </w:r>
          </w:p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结果</w:t>
            </w:r>
          </w:p>
        </w:tc>
        <w:tc>
          <w:tcPr>
            <w:tcW w:w="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尚未审结</w:t>
            </w:r>
          </w:p>
        </w:tc>
        <w:tc>
          <w:tcPr>
            <w:tcW w:w="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5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  <w:tc>
          <w:tcPr>
            <w:tcW w:w="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>
            <w:pPr>
              <w:widowControl/>
              <w:spacing w:line="578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年，在盘州市的关心指导下，在各站、所、股室的共同努力下，我镇政务公开工作整体水平有较大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提升。但根据盘州市相关文件要求，还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不少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差距，主要表现为：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有时信息公开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主动性不够。信息公开仍以完成任务为主，主动公开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意识不强。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政务公开内容不及时。202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年因工作人事变动，门户网站管理人员变更，对网站平台不够熟悉，工作动态栏目及时更新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做得不够理想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</w:t>
      </w:r>
      <w:r>
        <w:rPr>
          <w:rFonts w:hint="eastAsia" w:ascii="楷体_GB2312" w:hAnsi="楷体_GB2312" w:eastAsia="楷体_GB2312" w:cs="楷体_GB2312"/>
          <w:sz w:val="32"/>
          <w:szCs w:val="32"/>
        </w:rPr>
        <w:t>（二）改进情况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强化</w:t>
      </w:r>
      <w:r>
        <w:rPr>
          <w:rFonts w:hint="eastAsia" w:ascii="仿宋_GB2312" w:hAnsi="仿宋_GB2312" w:eastAsia="仿宋_GB2312" w:cs="仿宋_GB2312"/>
          <w:sz w:val="32"/>
          <w:szCs w:val="32"/>
        </w:rPr>
        <w:t>《条例》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学习。</w:t>
      </w:r>
      <w:r>
        <w:rPr>
          <w:rFonts w:hint="eastAsia" w:ascii="仿宋_GB2312" w:hAnsi="仿宋_GB2312" w:eastAsia="仿宋_GB2312" w:cs="仿宋_GB2312"/>
          <w:sz w:val="32"/>
          <w:szCs w:val="32"/>
        </w:rPr>
        <w:t>紧紧围绕最新修订的《条例》，进一步落实盘州市政府信息公开工作要求，及时更新乡镇动态、政策落实等模块，让广大人民群众更快、更好了解我镇工作开展情况。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强化信息的收集。加强对全镇工作的调度，及时掌握收集最新工作信息；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强化信息发布。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加强政务微博等移动政务信息平台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发布力度，充分发挥政府网站、政务微博等多场所、多形式的政务公开载体作用，多渠道公开政务信息，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政务信息公开形式多样化。 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年度没有收取信息处理费情况。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盘州市丹霞镇人民政府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2024年1月24日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9A33E2"/>
    <w:multiLevelType w:val="singleLevel"/>
    <w:tmpl w:val="BC9A33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MTkzNDc3ZGI4OGEwMDQ0ZThmMGQzNzg2Y2ZlYmEifQ=="/>
  </w:docVars>
  <w:rsids>
    <w:rsidRoot w:val="7DFD6CC4"/>
    <w:rsid w:val="06954AF6"/>
    <w:rsid w:val="097C1F9D"/>
    <w:rsid w:val="0DE93979"/>
    <w:rsid w:val="10710382"/>
    <w:rsid w:val="150F1F18"/>
    <w:rsid w:val="17FA1E35"/>
    <w:rsid w:val="181A33D4"/>
    <w:rsid w:val="1A045DC3"/>
    <w:rsid w:val="1D8B56B8"/>
    <w:rsid w:val="20570E2B"/>
    <w:rsid w:val="208A37AC"/>
    <w:rsid w:val="27F76F67"/>
    <w:rsid w:val="2B5446D0"/>
    <w:rsid w:val="2C1D7F28"/>
    <w:rsid w:val="2C9C24CE"/>
    <w:rsid w:val="2DDB69E3"/>
    <w:rsid w:val="2EAA498F"/>
    <w:rsid w:val="2EC87616"/>
    <w:rsid w:val="3D9B1CEB"/>
    <w:rsid w:val="3EBA43F3"/>
    <w:rsid w:val="40041DC9"/>
    <w:rsid w:val="404B79F8"/>
    <w:rsid w:val="42947A57"/>
    <w:rsid w:val="45546650"/>
    <w:rsid w:val="474438FC"/>
    <w:rsid w:val="47741C94"/>
    <w:rsid w:val="53AA0FF0"/>
    <w:rsid w:val="5482443D"/>
    <w:rsid w:val="56FE35BF"/>
    <w:rsid w:val="58DF11CE"/>
    <w:rsid w:val="5A0709DC"/>
    <w:rsid w:val="627F2323"/>
    <w:rsid w:val="637C4FE4"/>
    <w:rsid w:val="6D3C281E"/>
    <w:rsid w:val="6F593636"/>
    <w:rsid w:val="70453BB5"/>
    <w:rsid w:val="7176148D"/>
    <w:rsid w:val="73942E89"/>
    <w:rsid w:val="7610256F"/>
    <w:rsid w:val="77043E82"/>
    <w:rsid w:val="78AA0A59"/>
    <w:rsid w:val="7AFE508C"/>
    <w:rsid w:val="7B5F3D7C"/>
    <w:rsid w:val="7DF84014"/>
    <w:rsid w:val="7DFD6CC4"/>
    <w:rsid w:val="7F4219EB"/>
    <w:rsid w:val="7FE3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2024-01-24T06:58:00Z</dcterms:created>
  <dc:creator>between</dc:creator>
  <cp:lastModifiedBy>between</cp:lastModifiedBy>
  <cp:lastPrinted>2024-01-24T08:19:06Z</cp:lastPrinted>
  <dcterms:modified xsi:type="dcterms:W3CDTF">2024-01-24T09:02:24Z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E53DE0EB764A4D52B7E12AB025384057_11</vt:lpwstr>
  </property>
</Properties>
</file>