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492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fill="FFFFFF"/>
          <w:lang w:val="en-US" w:eastAsia="zh-CN"/>
        </w:rPr>
        <w:t>保田镇2023年度政府信息公开工作年度报告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564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2023年，我镇在市委、市政府的正确领导下，坚持以习近平新时代中国特色社会主义思想为指导，认真贯彻落实《中华人民共和国政府信息公开条例》，坚持政务信息公开、透明、规范化，准确及时地公开我镇各项决策部署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right="0" w:firstLine="564"/>
        <w:jc w:val="both"/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564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2023年，我镇政府信息公开工作扎实有效开展，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shd w:val="clear" w:fill="FFFFFF"/>
          <w:lang w:val="en-US" w:eastAsia="zh-CN"/>
        </w:rPr>
        <w:t>切实加强组织领导。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明确工作机构，健全完善相关制度，确保政府信息公开工作保障水平进一步提升。成立信息公开工作小组，一把手作为“第一责任人”任组长，分管领导任副组长，成员为保田镇党政办全体成员和各站（股）室负责人，若有人员变动的及时交接相关工作，明确专人负责编制发布政府信息公开内容，并严格落实三审三校制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64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shd w:val="clear" w:fill="FFFFFF"/>
          <w:lang w:val="en-US" w:eastAsia="zh-CN"/>
        </w:rPr>
        <w:t>（一）主动公开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564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shd w:val="clear" w:fill="FFFFFF"/>
          <w:lang w:val="en-US" w:eastAsia="zh-CN"/>
        </w:rPr>
        <w:t>不断加大主动公开力度。坚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持以“公开为原则，不公开为例外”为准则，在公开内容上，注重从被动公开向主动公开转变，注重从结果公开向过程公开转变，加强政府政务信息公开的规范性和覆盖度，确保我镇信息公开合法、及时、真实。截至2023年12月31日，保田镇人民政府2023年在门户网站、电子政务一体化办公平台、微信公众号上发布各类信息172条，党委政府信息公开栏公开180余条，各村（居）信息公开栏公开750余条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4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spacing w:val="12"/>
          <w:sz w:val="32"/>
          <w:szCs w:val="32"/>
          <w:lang w:val="en-US" w:eastAsia="zh-CN"/>
        </w:rPr>
        <w:t>依申请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shd w:val="clear" w:fill="FFFFFF"/>
          <w:lang w:val="en-US" w:eastAsia="zh-CN"/>
        </w:rPr>
        <w:t>公开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64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保田镇2023年收到和处理0条政府信息公开申请；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4" w:firstLineChars="0"/>
        <w:jc w:val="both"/>
        <w:textAlignment w:val="auto"/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64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保田镇发布的信息均选用官方信息平台的内容；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4" w:firstLineChars="0"/>
        <w:jc w:val="both"/>
        <w:textAlignment w:val="auto"/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64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保田镇使用政府信息公开平台为盘州市人民政府网、电子政务一体化办公平台、微信公众号盘州保田；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4" w:firstLineChars="0"/>
        <w:jc w:val="both"/>
        <w:textAlignment w:val="auto"/>
        <w:rPr>
          <w:rFonts w:hint="default" w:ascii="楷体_GB2312" w:hAnsi="楷体_GB2312" w:eastAsia="楷体_GB2312" w:cs="楷体_GB231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64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严格落实三审三校制度，并加强对工作人员的安全意识培训。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right="0" w:firstLine="564"/>
        <w:jc w:val="both"/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1944"/>
        <w:gridCol w:w="1944"/>
        <w:gridCol w:w="1944"/>
        <w:gridCol w:w="19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7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信息内容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本年制发件数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本年废止件数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规章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行政规范性文件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778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行政许可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778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行政处罚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行政强制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778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行政事业性收费</w:t>
            </w:r>
          </w:p>
        </w:tc>
        <w:tc>
          <w:tcPr>
            <w:tcW w:w="58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right="0" w:firstLine="564"/>
        <w:jc w:val="both"/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612"/>
        <w:gridCol w:w="756"/>
        <w:gridCol w:w="2580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9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（本列数据的勾稽关系为：第一项加第二项之和，等于第三项加第四项之和）</w:t>
            </w:r>
          </w:p>
        </w:tc>
        <w:tc>
          <w:tcPr>
            <w:tcW w:w="38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9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自然人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法人或其他组织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9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机构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社会公益组织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法律服务机构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其他</w:t>
            </w: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9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9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三、本年度办理结果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（一）予以公开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（三）不予公开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1.属于国家秘密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2.其他法律行政法规禁止公开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3.危及“三安全一稳定”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4.保护第三方合法权益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5.属于三类内部事务信息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6.属于四类过程性信息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7.属于行政执法案卷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8.属于行政查询事项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（四）无法提供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1.本机关不掌握相关政府信息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2.没有现成信息需要另行制作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3.补正后申请内容仍不明确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（五）不予处理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1.信访举报投诉类申请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2.重复申请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3.要求提供公开出版物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4.无正当理由大量反复申请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24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（六）其他处理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2.申请人逾期未按收费通知要求缴纳费用、行政机关不再处理其政府信息公开申请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3.其他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（七）总计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39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四、结转下年度继续办理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48" w:type="dxa"/>
              <w:bottom w:w="0" w:type="dxa"/>
              <w:right w:w="4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right="0" w:firstLine="564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516"/>
        <w:gridCol w:w="516"/>
        <w:gridCol w:w="516"/>
        <w:gridCol w:w="516"/>
        <w:gridCol w:w="528"/>
        <w:gridCol w:w="516"/>
        <w:gridCol w:w="516"/>
        <w:gridCol w:w="516"/>
        <w:gridCol w:w="516"/>
        <w:gridCol w:w="540"/>
        <w:gridCol w:w="516"/>
        <w:gridCol w:w="516"/>
        <w:gridCol w:w="516"/>
        <w:gridCol w:w="516"/>
        <w:gridCol w:w="5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行政复议</w:t>
            </w: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结果维持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纠正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结果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审结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总计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未经复议直接起诉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纠正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结果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审结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总计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维持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纠正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结果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审结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54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right="0" w:firstLine="564"/>
        <w:jc w:val="both"/>
        <w:rPr>
          <w:rFonts w:hint="eastAsia"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4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2023年以来，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由于对《中华人民共和国政府信息公开条例》的学习不够、理解不深，少数工作人员对哪些信息应该主动公开、哪些可依申请公开、哪些依法不能公开把握不准，对本镇生成的政府信息未进行科学分类，工作较为被动，应主动公开政府信息公开不全，更新不及时，没有在《中华人民共和国政府信息公开条例》规定的时限内公开应当公开的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4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eastAsia="zh-CN"/>
        </w:rPr>
        <w:t>接下来保田镇将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进一步加强政府网站建设和管理，将政府网站打造成及时、准确、公开透明的政府信息发布第一平台。要着力建设基于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等新媒体的政府信息发布新渠道。加强信息公开工作人员的培训，通过学习业务知识、借鉴先进工作经验及工作人员相互交流等方式，确保信息的发布、解读和回应工作做到制度化、规范化、科学化。</w:t>
      </w:r>
    </w:p>
    <w:p>
      <w:pPr>
        <w:pStyle w:val="2"/>
        <w:keepNext w:val="0"/>
        <w:keepLines w:val="0"/>
        <w:widowControl/>
        <w:suppressLineNumbers w:val="0"/>
        <w:spacing w:line="468" w:lineRule="atLeast"/>
        <w:ind w:left="0" w:right="0" w:firstLine="564"/>
        <w:jc w:val="both"/>
        <w:rPr>
          <w:rFonts w:hint="eastAsia"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9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eastAsia="zh-CN"/>
        </w:rPr>
        <w:t>保田镇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jE0Y2FlMTIwMzExMjZlZGQxZTU4MjMxZDcxZGYifQ=="/>
  </w:docVars>
  <w:rsids>
    <w:rsidRoot w:val="3AC928EE"/>
    <w:rsid w:val="1FED5F2B"/>
    <w:rsid w:val="25D92F5E"/>
    <w:rsid w:val="2B7F321F"/>
    <w:rsid w:val="337E5A99"/>
    <w:rsid w:val="3AC928EE"/>
    <w:rsid w:val="41872A99"/>
    <w:rsid w:val="49853304"/>
    <w:rsid w:val="56261143"/>
    <w:rsid w:val="622B1D03"/>
    <w:rsid w:val="725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2024-01-04T03:26:00Z</dcterms:created>
  <dc:creator>Administrator</dc:creator>
  <cp:lastModifiedBy>我梦见某处，风已经发生</cp:lastModifiedBy>
  <cp:lastPrinted>2024-01-15T06:39:00Z</cp:lastPrinted>
  <dcterms:modified xsi:type="dcterms:W3CDTF">2024-01-24T09:12:20Z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6CB591665892460BA1AE213B317BA902_11</vt:lpwstr>
  </property>
</Properties>
</file>